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A5BF" w14:textId="426AE55E" w:rsidR="000B3F0C" w:rsidRPr="005E13E7" w:rsidRDefault="00B90905" w:rsidP="00F864A1">
      <w:pPr>
        <w:pStyle w:val="Overskrift2"/>
        <w:jc w:val="both"/>
      </w:pPr>
      <w:r w:rsidRPr="005E13E7">
        <w:t>Likestillingsredegjørelse</w:t>
      </w:r>
      <w:r w:rsidR="00686116" w:rsidRPr="005E13E7">
        <w:t xml:space="preserve"> </w:t>
      </w:r>
      <w:r w:rsidR="00AE719B" w:rsidRPr="005E13E7">
        <w:t>NG</w:t>
      </w:r>
      <w:r w:rsidR="00FE6F7D" w:rsidRPr="005E13E7">
        <w:t xml:space="preserve">-Group </w:t>
      </w:r>
      <w:r w:rsidR="00AE719B" w:rsidRPr="005E13E7">
        <w:t>AS</w:t>
      </w:r>
      <w:r w:rsidR="005E13E7" w:rsidRPr="005E13E7">
        <w:t xml:space="preserve"> for 202</w:t>
      </w:r>
      <w:r w:rsidR="004E17FE">
        <w:t>3</w:t>
      </w:r>
    </w:p>
    <w:p w14:paraId="7BAEBF00" w14:textId="77777777" w:rsidR="00520615" w:rsidRDefault="00520615" w:rsidP="00F864A1">
      <w:pPr>
        <w:spacing w:before="0"/>
        <w:contextualSpacing/>
        <w:jc w:val="both"/>
        <w:rPr>
          <w:i/>
          <w:iCs/>
          <w:color w:val="auto"/>
        </w:rPr>
      </w:pPr>
    </w:p>
    <w:p w14:paraId="1D4467F1" w14:textId="05685EDB" w:rsidR="00E703FD" w:rsidRPr="00AD5206" w:rsidRDefault="00E703FD" w:rsidP="00F864A1">
      <w:pPr>
        <w:spacing w:before="0"/>
        <w:contextualSpacing/>
        <w:jc w:val="both"/>
        <w:rPr>
          <w:i/>
          <w:iCs/>
          <w:color w:val="auto"/>
          <w:sz w:val="28"/>
          <w:szCs w:val="22"/>
        </w:rPr>
      </w:pPr>
      <w:r w:rsidRPr="00AD5206">
        <w:rPr>
          <w:i/>
          <w:iCs/>
          <w:color w:val="auto"/>
          <w:sz w:val="28"/>
          <w:szCs w:val="22"/>
        </w:rPr>
        <w:t>Miljø- og gjenvinningsbransjen har tradisjonelt vært mannsdominert, og</w:t>
      </w:r>
      <w:r w:rsidR="00FB57ED" w:rsidRPr="00AD5206">
        <w:rPr>
          <w:i/>
          <w:iCs/>
          <w:color w:val="auto"/>
          <w:sz w:val="28"/>
          <w:szCs w:val="22"/>
        </w:rPr>
        <w:t xml:space="preserve"> NG-</w:t>
      </w:r>
      <w:r w:rsidRPr="00AD5206">
        <w:rPr>
          <w:i/>
          <w:iCs/>
          <w:color w:val="auto"/>
          <w:sz w:val="28"/>
          <w:szCs w:val="22"/>
        </w:rPr>
        <w:t xml:space="preserve">konsernet arbeider bevisst med å rekruttere </w:t>
      </w:r>
      <w:r w:rsidR="006E56CD">
        <w:rPr>
          <w:i/>
          <w:iCs/>
          <w:color w:val="auto"/>
          <w:sz w:val="28"/>
          <w:szCs w:val="22"/>
        </w:rPr>
        <w:t xml:space="preserve">og beholde </w:t>
      </w:r>
      <w:r w:rsidRPr="00AD5206">
        <w:rPr>
          <w:i/>
          <w:iCs/>
          <w:color w:val="auto"/>
          <w:sz w:val="28"/>
          <w:szCs w:val="22"/>
        </w:rPr>
        <w:t xml:space="preserve">flere kvinner til ulike roller i konsernet. </w:t>
      </w:r>
    </w:p>
    <w:p w14:paraId="0915A442" w14:textId="77777777" w:rsidR="00E703FD" w:rsidRDefault="00E703FD" w:rsidP="00F864A1">
      <w:pPr>
        <w:spacing w:before="0"/>
        <w:contextualSpacing/>
        <w:jc w:val="both"/>
        <w:rPr>
          <w:color w:val="auto"/>
          <w:szCs w:val="24"/>
        </w:rPr>
      </w:pPr>
    </w:p>
    <w:p w14:paraId="6BE061CA" w14:textId="02037775" w:rsidR="00AD5206" w:rsidRPr="00AF7480" w:rsidRDefault="00AD5206" w:rsidP="00F864A1">
      <w:pPr>
        <w:spacing w:befor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Denne redegjørelsen legger til grunn alle ansatte i de norske selskapene i konsernet som får lønn utbetalt i NOK. Totalt </w:t>
      </w:r>
      <w:r w:rsidR="000921B8">
        <w:rPr>
          <w:color w:val="auto"/>
          <w:szCs w:val="24"/>
        </w:rPr>
        <w:t xml:space="preserve">utgjorde dette </w:t>
      </w:r>
      <w:r w:rsidR="007542B2" w:rsidRPr="00B977C8">
        <w:rPr>
          <w:color w:val="auto"/>
          <w:szCs w:val="24"/>
        </w:rPr>
        <w:t>1849</w:t>
      </w:r>
      <w:r w:rsidRPr="00B977C8">
        <w:rPr>
          <w:color w:val="auto"/>
          <w:szCs w:val="24"/>
        </w:rPr>
        <w:t xml:space="preserve"> ansatte</w:t>
      </w:r>
      <w:r w:rsidR="002B250D" w:rsidRPr="00B977C8">
        <w:rPr>
          <w:color w:val="auto"/>
          <w:szCs w:val="24"/>
        </w:rPr>
        <w:t xml:space="preserve"> </w:t>
      </w:r>
      <w:r w:rsidR="000921B8" w:rsidRPr="00B977C8">
        <w:rPr>
          <w:color w:val="auto"/>
          <w:szCs w:val="24"/>
        </w:rPr>
        <w:t>per 31.12.2023</w:t>
      </w:r>
      <w:r w:rsidRPr="00B977C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</w:p>
    <w:p w14:paraId="5C9BE0A3" w14:textId="77777777" w:rsidR="00AD5206" w:rsidRDefault="00AD5206" w:rsidP="00F864A1">
      <w:pPr>
        <w:spacing w:before="0"/>
        <w:contextualSpacing/>
        <w:jc w:val="both"/>
        <w:rPr>
          <w:color w:val="auto"/>
          <w:szCs w:val="24"/>
        </w:rPr>
      </w:pPr>
    </w:p>
    <w:p w14:paraId="469980CC" w14:textId="77777777" w:rsidR="00EF5CDF" w:rsidRPr="00D60CEB" w:rsidRDefault="00EF5CDF" w:rsidP="00F864A1">
      <w:pPr>
        <w:pStyle w:val="Overskrift3"/>
        <w:jc w:val="both"/>
        <w:rPr>
          <w:color w:val="6D6E71"/>
          <w:szCs w:val="28"/>
        </w:rPr>
      </w:pPr>
      <w:r w:rsidRPr="00D60CEB">
        <w:t xml:space="preserve">Tilstand for </w:t>
      </w:r>
      <w:r>
        <w:t>kjønnsbalansen i</w:t>
      </w:r>
      <w:r w:rsidRPr="00D60CEB">
        <w:rPr>
          <w:color w:val="auto"/>
        </w:rPr>
        <w:t xml:space="preserve"> NG</w:t>
      </w:r>
      <w:r w:rsidRPr="00D60CEB">
        <w:rPr>
          <w:i/>
          <w:iCs/>
          <w:color w:val="auto"/>
        </w:rPr>
        <w:t>-</w:t>
      </w:r>
      <w:r w:rsidRPr="00D60CEB">
        <w:rPr>
          <w:color w:val="auto"/>
        </w:rPr>
        <w:t xml:space="preserve">konsernet </w:t>
      </w:r>
    </w:p>
    <w:p w14:paraId="6D29A570" w14:textId="62C36E46" w:rsidR="006F2B33" w:rsidRPr="00045840" w:rsidRDefault="00E703FD" w:rsidP="00F864A1">
      <w:pPr>
        <w:tabs>
          <w:tab w:val="left" w:pos="709"/>
        </w:tabs>
        <w:spacing w:before="0"/>
        <w:contextualSpacing/>
        <w:jc w:val="both"/>
      </w:pPr>
      <w:r>
        <w:t>Tabellen nedenfor viser kjønnsbalansen i NG-konsernet</w:t>
      </w:r>
      <w:r w:rsidR="000223DD">
        <w:t xml:space="preserve"> i Norge</w:t>
      </w:r>
      <w:r w:rsidR="005006C3">
        <w:t>,</w:t>
      </w:r>
      <w:r w:rsidR="00A65C11">
        <w:t xml:space="preserve"> per 31.12.2023</w:t>
      </w:r>
      <w:r w:rsidR="002030B8">
        <w:t xml:space="preserve"> rapporteres her</w:t>
      </w:r>
      <w:r>
        <w:t xml:space="preserve"> </w:t>
      </w:r>
      <w:r w:rsidR="00D94707">
        <w:t>antall</w:t>
      </w:r>
      <w:r>
        <w:t xml:space="preserve"> midlertidig ansatt</w:t>
      </w:r>
      <w:r w:rsidR="00D94707">
        <w:t>e</w:t>
      </w:r>
      <w:r>
        <w:t>, gjennomsnittlig uttak av foreldrepermisjon og deltid</w:t>
      </w:r>
      <w:r w:rsidR="002030B8">
        <w:t>sansatte</w:t>
      </w:r>
      <w:r w:rsidR="00EF5CDF">
        <w:t xml:space="preserve">. </w:t>
      </w:r>
      <w:r w:rsidR="00197886">
        <w:t xml:space="preserve">Kjønnsfordeling er </w:t>
      </w:r>
      <w:r w:rsidR="00016E71">
        <w:t xml:space="preserve">vist </w:t>
      </w:r>
      <w:r w:rsidR="002030B8">
        <w:t>pr</w:t>
      </w:r>
      <w:r w:rsidR="00032D1D">
        <w:t xml:space="preserve"> stillings</w:t>
      </w:r>
      <w:r w:rsidR="00A65C11">
        <w:t>kategori</w:t>
      </w:r>
      <w:r w:rsidR="00032D1D">
        <w:t xml:space="preserve">, fordelt på </w:t>
      </w:r>
      <w:r w:rsidR="00016E71">
        <w:t>antall ans</w:t>
      </w:r>
      <w:r w:rsidR="00F873E3">
        <w:t>a</w:t>
      </w:r>
      <w:r w:rsidR="00016E71">
        <w:t xml:space="preserve">tte </w:t>
      </w:r>
      <w:r w:rsidR="00032D1D">
        <w:t>kvinner og menn</w:t>
      </w:r>
      <w:r w:rsidR="00016E71">
        <w:t xml:space="preserve"> (uavhengig av stillingsbrøk)</w:t>
      </w:r>
      <w:r w:rsidR="00032D1D">
        <w:t xml:space="preserve">. </w:t>
      </w:r>
    </w:p>
    <w:p w14:paraId="68DA4997" w14:textId="77777777" w:rsidR="00461133" w:rsidRDefault="00461133" w:rsidP="00F864A1">
      <w:pPr>
        <w:tabs>
          <w:tab w:val="left" w:pos="709"/>
        </w:tabs>
        <w:spacing w:before="0"/>
        <w:jc w:val="both"/>
        <w:rPr>
          <w:color w:val="6D6E71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1106"/>
        <w:gridCol w:w="992"/>
        <w:gridCol w:w="790"/>
        <w:gridCol w:w="963"/>
        <w:gridCol w:w="963"/>
        <w:gridCol w:w="963"/>
      </w:tblGrid>
      <w:tr w:rsidR="007542B2" w14:paraId="0B95BEFB" w14:textId="77777777" w:rsidTr="0049725A">
        <w:tc>
          <w:tcPr>
            <w:tcW w:w="1925" w:type="dxa"/>
            <w:gridSpan w:val="2"/>
            <w:shd w:val="clear" w:color="auto" w:fill="00B0F0"/>
          </w:tcPr>
          <w:p w14:paraId="3AFE1677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b/>
                <w:bCs/>
                <w:szCs w:val="24"/>
              </w:rPr>
            </w:pPr>
            <w:r w:rsidRPr="00D60CEB">
              <w:rPr>
                <w:b/>
                <w:bCs/>
                <w:szCs w:val="24"/>
              </w:rPr>
              <w:t>Kjønnsbalanse</w:t>
            </w:r>
          </w:p>
        </w:tc>
        <w:tc>
          <w:tcPr>
            <w:tcW w:w="1926" w:type="dxa"/>
            <w:gridSpan w:val="2"/>
            <w:shd w:val="clear" w:color="auto" w:fill="00B0F0"/>
          </w:tcPr>
          <w:p w14:paraId="40B0994A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b/>
                <w:bCs/>
                <w:szCs w:val="24"/>
              </w:rPr>
            </w:pPr>
            <w:r w:rsidRPr="00D60CEB">
              <w:rPr>
                <w:b/>
                <w:bCs/>
                <w:szCs w:val="24"/>
              </w:rPr>
              <w:t>Midlertidig ansatte</w:t>
            </w:r>
          </w:p>
        </w:tc>
        <w:tc>
          <w:tcPr>
            <w:tcW w:w="2098" w:type="dxa"/>
            <w:gridSpan w:val="2"/>
            <w:shd w:val="clear" w:color="auto" w:fill="00B0F0"/>
          </w:tcPr>
          <w:p w14:paraId="51F57F5A" w14:textId="77777777" w:rsidR="007542B2" w:rsidRPr="00D60CEB" w:rsidRDefault="007542B2" w:rsidP="00201B49">
            <w:pPr>
              <w:tabs>
                <w:tab w:val="left" w:pos="709"/>
              </w:tabs>
              <w:spacing w:before="0"/>
              <w:rPr>
                <w:b/>
                <w:bCs/>
                <w:szCs w:val="24"/>
              </w:rPr>
            </w:pPr>
            <w:r w:rsidRPr="00D60CEB">
              <w:rPr>
                <w:b/>
                <w:bCs/>
                <w:szCs w:val="24"/>
              </w:rPr>
              <w:t>Uttak av foreldrepermisjon</w:t>
            </w:r>
          </w:p>
        </w:tc>
        <w:tc>
          <w:tcPr>
            <w:tcW w:w="1753" w:type="dxa"/>
            <w:gridSpan w:val="2"/>
            <w:shd w:val="clear" w:color="auto" w:fill="00B0F0"/>
          </w:tcPr>
          <w:p w14:paraId="522386D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b/>
                <w:bCs/>
                <w:szCs w:val="24"/>
              </w:rPr>
            </w:pPr>
            <w:r w:rsidRPr="00D60CEB">
              <w:rPr>
                <w:b/>
                <w:bCs/>
                <w:szCs w:val="24"/>
              </w:rPr>
              <w:t>Faktisk deltidsarbeid</w:t>
            </w:r>
          </w:p>
        </w:tc>
        <w:tc>
          <w:tcPr>
            <w:tcW w:w="1926" w:type="dxa"/>
            <w:gridSpan w:val="2"/>
            <w:shd w:val="clear" w:color="auto" w:fill="00B0F0"/>
          </w:tcPr>
          <w:p w14:paraId="37F9F76C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b/>
                <w:bCs/>
                <w:szCs w:val="24"/>
              </w:rPr>
            </w:pPr>
            <w:r w:rsidRPr="00D60CEB">
              <w:rPr>
                <w:b/>
                <w:bCs/>
                <w:szCs w:val="24"/>
              </w:rPr>
              <w:t>Ufrivillig deltidsarbeid</w:t>
            </w:r>
          </w:p>
        </w:tc>
      </w:tr>
      <w:tr w:rsidR="007542B2" w14:paraId="3068A0E5" w14:textId="77777777" w:rsidTr="00637EFB">
        <w:tc>
          <w:tcPr>
            <w:tcW w:w="962" w:type="dxa"/>
          </w:tcPr>
          <w:p w14:paraId="0ACC675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D60CEB">
              <w:rPr>
                <w:szCs w:val="24"/>
              </w:rPr>
              <w:t>Antall kvinner</w:t>
            </w:r>
          </w:p>
        </w:tc>
        <w:tc>
          <w:tcPr>
            <w:tcW w:w="963" w:type="dxa"/>
          </w:tcPr>
          <w:p w14:paraId="5EA6663A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D60CEB">
              <w:rPr>
                <w:szCs w:val="24"/>
              </w:rPr>
              <w:t>Antall menn</w:t>
            </w:r>
          </w:p>
        </w:tc>
        <w:tc>
          <w:tcPr>
            <w:tcW w:w="963" w:type="dxa"/>
          </w:tcPr>
          <w:p w14:paraId="30AC9A2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Midlertidig ansatte kvinner</w:t>
            </w:r>
          </w:p>
        </w:tc>
        <w:tc>
          <w:tcPr>
            <w:tcW w:w="963" w:type="dxa"/>
          </w:tcPr>
          <w:p w14:paraId="68A3D21E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Midlertidig ansatte menn</w:t>
            </w:r>
          </w:p>
        </w:tc>
        <w:tc>
          <w:tcPr>
            <w:tcW w:w="1106" w:type="dxa"/>
          </w:tcPr>
          <w:p w14:paraId="6FC0A8F4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Kvinners uttak av foreldre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-</w:t>
            </w: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permisjon</w:t>
            </w:r>
            <w:r w:rsidRPr="00D60CE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*</w:t>
            </w:r>
          </w:p>
        </w:tc>
        <w:tc>
          <w:tcPr>
            <w:tcW w:w="992" w:type="dxa"/>
          </w:tcPr>
          <w:p w14:paraId="4D1E9399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Menns uttak av foreldre-permisjon</w:t>
            </w:r>
            <w:r w:rsidRPr="00D60CE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*</w:t>
            </w:r>
          </w:p>
        </w:tc>
        <w:tc>
          <w:tcPr>
            <w:tcW w:w="790" w:type="dxa"/>
          </w:tcPr>
          <w:p w14:paraId="29113145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Deltid kvinner</w:t>
            </w:r>
          </w:p>
        </w:tc>
        <w:tc>
          <w:tcPr>
            <w:tcW w:w="963" w:type="dxa"/>
          </w:tcPr>
          <w:p w14:paraId="139BF1F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Deltid menn</w:t>
            </w:r>
          </w:p>
        </w:tc>
        <w:tc>
          <w:tcPr>
            <w:tcW w:w="963" w:type="dxa"/>
          </w:tcPr>
          <w:p w14:paraId="609F7384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Ufrivillig deltid kvinner</w:t>
            </w:r>
          </w:p>
        </w:tc>
        <w:tc>
          <w:tcPr>
            <w:tcW w:w="963" w:type="dxa"/>
          </w:tcPr>
          <w:p w14:paraId="601F6B6A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 w:rsidRPr="009D152D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Ufrivillig deltid menn</w:t>
            </w:r>
          </w:p>
        </w:tc>
      </w:tr>
      <w:tr w:rsidR="007542B2" w14:paraId="0A5953B2" w14:textId="77777777" w:rsidTr="00637EFB">
        <w:tc>
          <w:tcPr>
            <w:tcW w:w="962" w:type="dxa"/>
            <w:vAlign w:val="bottom"/>
          </w:tcPr>
          <w:p w14:paraId="38F12D6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306</w:t>
            </w:r>
          </w:p>
        </w:tc>
        <w:tc>
          <w:tcPr>
            <w:tcW w:w="963" w:type="dxa"/>
            <w:vAlign w:val="bottom"/>
          </w:tcPr>
          <w:p w14:paraId="1768D6AA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1543</w:t>
            </w:r>
          </w:p>
        </w:tc>
        <w:tc>
          <w:tcPr>
            <w:tcW w:w="963" w:type="dxa"/>
            <w:vAlign w:val="bottom"/>
          </w:tcPr>
          <w:p w14:paraId="2BFFFB58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63" w:type="dxa"/>
            <w:vAlign w:val="bottom"/>
          </w:tcPr>
          <w:p w14:paraId="165A32AB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1106" w:type="dxa"/>
            <w:vAlign w:val="bottom"/>
          </w:tcPr>
          <w:p w14:paraId="1D56797A" w14:textId="428BCBAC" w:rsidR="007542B2" w:rsidRPr="00D60CEB" w:rsidRDefault="008A2396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2" w:type="dxa"/>
            <w:vAlign w:val="bottom"/>
          </w:tcPr>
          <w:p w14:paraId="197F0F5F" w14:textId="08116087" w:rsidR="007542B2" w:rsidRPr="00D60CEB" w:rsidRDefault="008A2396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14:paraId="3A7D5F04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963" w:type="dxa"/>
            <w:vAlign w:val="bottom"/>
          </w:tcPr>
          <w:p w14:paraId="76B2FC6F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65</w:t>
            </w:r>
          </w:p>
        </w:tc>
        <w:tc>
          <w:tcPr>
            <w:tcW w:w="963" w:type="dxa"/>
            <w:vAlign w:val="bottom"/>
          </w:tcPr>
          <w:p w14:paraId="4B8B2250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33B037CC" w14:textId="77777777" w:rsidR="007542B2" w:rsidRPr="00D60CEB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542B2" w14:paraId="72C2D2EC" w14:textId="77777777" w:rsidTr="00637EFB">
        <w:tc>
          <w:tcPr>
            <w:tcW w:w="1925" w:type="dxa"/>
            <w:gridSpan w:val="2"/>
            <w:vAlign w:val="bottom"/>
          </w:tcPr>
          <w:p w14:paraId="1FEC8B30" w14:textId="77777777" w:rsidR="007542B2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</w:p>
          <w:p w14:paraId="50A47AC4" w14:textId="77777777" w:rsidR="007542B2" w:rsidRPr="009D152D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Totalt 1849</w:t>
            </w:r>
          </w:p>
        </w:tc>
        <w:tc>
          <w:tcPr>
            <w:tcW w:w="1926" w:type="dxa"/>
            <w:gridSpan w:val="2"/>
            <w:vAlign w:val="bottom"/>
          </w:tcPr>
          <w:p w14:paraId="5106923C" w14:textId="77777777" w:rsidR="007542B2" w:rsidRPr="009D152D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Totalt 95</w:t>
            </w:r>
          </w:p>
        </w:tc>
        <w:tc>
          <w:tcPr>
            <w:tcW w:w="1106" w:type="dxa"/>
            <w:vAlign w:val="bottom"/>
          </w:tcPr>
          <w:p w14:paraId="0424EA42" w14:textId="212C4A4B" w:rsidR="007542B2" w:rsidRPr="009D152D" w:rsidRDefault="008A2396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992" w:type="dxa"/>
            <w:vAlign w:val="bottom"/>
          </w:tcPr>
          <w:p w14:paraId="173B8D04" w14:textId="434FF13E" w:rsidR="007542B2" w:rsidRPr="009D152D" w:rsidRDefault="0015241E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790" w:type="dxa"/>
            <w:vAlign w:val="bottom"/>
          </w:tcPr>
          <w:p w14:paraId="629D9E47" w14:textId="5666B2DB" w:rsidR="007542B2" w:rsidRPr="009D152D" w:rsidRDefault="004E2CFE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85</w:t>
            </w:r>
          </w:p>
        </w:tc>
        <w:tc>
          <w:tcPr>
            <w:tcW w:w="963" w:type="dxa"/>
            <w:vAlign w:val="bottom"/>
          </w:tcPr>
          <w:p w14:paraId="53CE031A" w14:textId="77777777" w:rsidR="007542B2" w:rsidRPr="009D152D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63" w:type="dxa"/>
            <w:vAlign w:val="bottom"/>
          </w:tcPr>
          <w:p w14:paraId="2159D935" w14:textId="77777777" w:rsidR="007542B2" w:rsidRPr="009D152D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63" w:type="dxa"/>
            <w:vAlign w:val="bottom"/>
          </w:tcPr>
          <w:p w14:paraId="0EEE9B27" w14:textId="77777777" w:rsidR="007542B2" w:rsidRPr="009D152D" w:rsidRDefault="007542B2" w:rsidP="00F864A1">
            <w:pPr>
              <w:tabs>
                <w:tab w:val="left" w:pos="709"/>
              </w:tabs>
              <w:spacing w:before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</w:p>
        </w:tc>
      </w:tr>
    </w:tbl>
    <w:p w14:paraId="6B1C6290" w14:textId="77777777" w:rsidR="007542B2" w:rsidRPr="0083578C" w:rsidRDefault="007542B2" w:rsidP="00F864A1">
      <w:pPr>
        <w:tabs>
          <w:tab w:val="left" w:pos="709"/>
        </w:tabs>
        <w:spacing w:before="0"/>
        <w:jc w:val="both"/>
        <w:rPr>
          <w:color w:val="6D6E71"/>
          <w:szCs w:val="24"/>
        </w:rPr>
      </w:pPr>
    </w:p>
    <w:p w14:paraId="18825454" w14:textId="31BB09E5" w:rsidR="00BF08EC" w:rsidRDefault="007542B2" w:rsidP="00F864A1">
      <w:pPr>
        <w:tabs>
          <w:tab w:val="left" w:pos="709"/>
        </w:tabs>
        <w:spacing w:before="0"/>
        <w:ind w:left="709"/>
        <w:jc w:val="both"/>
        <w:rPr>
          <w:i/>
          <w:iCs/>
        </w:rPr>
      </w:pPr>
      <w:r w:rsidRPr="3EF605AE">
        <w:rPr>
          <w:i/>
          <w:iCs/>
        </w:rPr>
        <w:t>Tabell 1 - Kjønnsbalansen i NG-</w:t>
      </w:r>
      <w:r w:rsidR="09CE56DE" w:rsidRPr="3EF605AE">
        <w:rPr>
          <w:i/>
          <w:iCs/>
        </w:rPr>
        <w:t xml:space="preserve">Group i </w:t>
      </w:r>
      <w:r w:rsidR="00B977C8">
        <w:rPr>
          <w:i/>
          <w:iCs/>
        </w:rPr>
        <w:t>N</w:t>
      </w:r>
      <w:r w:rsidR="00014C38" w:rsidRPr="3EF605AE">
        <w:rPr>
          <w:i/>
          <w:iCs/>
        </w:rPr>
        <w:t xml:space="preserve">orge </w:t>
      </w:r>
      <w:r w:rsidRPr="3EF605AE">
        <w:rPr>
          <w:i/>
          <w:iCs/>
        </w:rPr>
        <w:t>pr 31.12.2023</w:t>
      </w:r>
      <w:r w:rsidR="00906AEE">
        <w:rPr>
          <w:i/>
          <w:iCs/>
        </w:rPr>
        <w:t xml:space="preserve"> </w:t>
      </w:r>
      <w:r w:rsidR="00BF08EC">
        <w:rPr>
          <w:color w:val="6D6E71"/>
          <w:szCs w:val="24"/>
        </w:rPr>
        <w:t>*gjennomsnitt antall uker</w:t>
      </w:r>
    </w:p>
    <w:p w14:paraId="10BA3EB0" w14:textId="77777777" w:rsidR="00B4371C" w:rsidRPr="001078E9" w:rsidRDefault="00B4371C" w:rsidP="00F864A1">
      <w:pPr>
        <w:tabs>
          <w:tab w:val="left" w:pos="709"/>
        </w:tabs>
        <w:spacing w:before="0"/>
        <w:jc w:val="both"/>
        <w:rPr>
          <w:color w:val="6D6E71"/>
          <w:szCs w:val="24"/>
        </w:rPr>
      </w:pPr>
    </w:p>
    <w:p w14:paraId="47E454BD" w14:textId="6B643ACB" w:rsidR="000F28DE" w:rsidRDefault="000F28DE" w:rsidP="00F864A1">
      <w:pPr>
        <w:pStyle w:val="Overskrift4"/>
        <w:jc w:val="both"/>
      </w:pPr>
      <w:r w:rsidRPr="000F28DE">
        <w:t>Kjønnsbalanse</w:t>
      </w:r>
    </w:p>
    <w:p w14:paraId="26618884" w14:textId="6A69A75A" w:rsidR="00CC08CA" w:rsidRDefault="002C29D3" w:rsidP="00F864A1">
      <w:pPr>
        <w:spacing w:before="0"/>
        <w:jc w:val="both"/>
        <w:rPr>
          <w:color w:val="auto"/>
        </w:rPr>
      </w:pPr>
      <w:r w:rsidRPr="3EF605AE">
        <w:rPr>
          <w:color w:val="auto"/>
        </w:rPr>
        <w:t>NG-</w:t>
      </w:r>
      <w:r w:rsidR="00BF08EC" w:rsidRPr="3EF605AE">
        <w:rPr>
          <w:color w:val="auto"/>
        </w:rPr>
        <w:t>Group</w:t>
      </w:r>
      <w:r w:rsidR="007871B6" w:rsidRPr="3EF605AE">
        <w:rPr>
          <w:color w:val="auto"/>
        </w:rPr>
        <w:t xml:space="preserve"> </w:t>
      </w:r>
      <w:r w:rsidR="58BD18BE" w:rsidRPr="3EF605AE">
        <w:rPr>
          <w:color w:val="auto"/>
        </w:rPr>
        <w:t xml:space="preserve">Norge </w:t>
      </w:r>
      <w:r w:rsidR="00CC08CA" w:rsidRPr="3EF605AE">
        <w:rPr>
          <w:color w:val="auto"/>
        </w:rPr>
        <w:t xml:space="preserve">hadde </w:t>
      </w:r>
      <w:r w:rsidRPr="3EF605AE">
        <w:rPr>
          <w:color w:val="auto"/>
        </w:rPr>
        <w:t>pr. 31.12.202</w:t>
      </w:r>
      <w:r w:rsidR="007542B2" w:rsidRPr="3EF605AE">
        <w:rPr>
          <w:color w:val="auto"/>
        </w:rPr>
        <w:t>3</w:t>
      </w:r>
      <w:r w:rsidR="00BF08EC" w:rsidRPr="3EF605AE">
        <w:rPr>
          <w:color w:val="auto"/>
        </w:rPr>
        <w:t>,</w:t>
      </w:r>
      <w:r w:rsidR="0065308E" w:rsidRPr="3EF605AE">
        <w:rPr>
          <w:color w:val="auto"/>
        </w:rPr>
        <w:t xml:space="preserve"> </w:t>
      </w:r>
      <w:r w:rsidR="007542B2" w:rsidRPr="3EF605AE">
        <w:rPr>
          <w:color w:val="auto"/>
        </w:rPr>
        <w:t>306</w:t>
      </w:r>
      <w:r w:rsidRPr="3EF605AE">
        <w:rPr>
          <w:color w:val="auto"/>
        </w:rPr>
        <w:t xml:space="preserve"> kvinne</w:t>
      </w:r>
      <w:r w:rsidR="00330948" w:rsidRPr="3EF605AE">
        <w:rPr>
          <w:color w:val="auto"/>
        </w:rPr>
        <w:t>lige ansatte</w:t>
      </w:r>
      <w:r w:rsidR="007A13FF" w:rsidRPr="3EF605AE">
        <w:rPr>
          <w:color w:val="auto"/>
        </w:rPr>
        <w:t xml:space="preserve"> i konsernets norske selskaper</w:t>
      </w:r>
      <w:r w:rsidR="0085333E" w:rsidRPr="3EF605AE">
        <w:rPr>
          <w:color w:val="auto"/>
        </w:rPr>
        <w:t>. Dette</w:t>
      </w:r>
      <w:r w:rsidRPr="3EF605AE">
        <w:rPr>
          <w:color w:val="auto"/>
        </w:rPr>
        <w:t xml:space="preserve"> utgjør 1</w:t>
      </w:r>
      <w:r w:rsidR="009978C9" w:rsidRPr="3EF605AE">
        <w:rPr>
          <w:color w:val="auto"/>
        </w:rPr>
        <w:t>7</w:t>
      </w:r>
      <w:r w:rsidRPr="3EF605AE">
        <w:rPr>
          <w:color w:val="auto"/>
        </w:rPr>
        <w:t xml:space="preserve"> prosent</w:t>
      </w:r>
      <w:r w:rsidR="00330948" w:rsidRPr="3EF605AE">
        <w:rPr>
          <w:color w:val="auto"/>
        </w:rPr>
        <w:t xml:space="preserve"> av alle ansatte</w:t>
      </w:r>
      <w:r w:rsidR="009978C9" w:rsidRPr="3EF605AE">
        <w:rPr>
          <w:color w:val="auto"/>
        </w:rPr>
        <w:t xml:space="preserve"> i Norske Selskaper</w:t>
      </w:r>
      <w:r w:rsidRPr="3EF605AE">
        <w:rPr>
          <w:color w:val="auto"/>
        </w:rPr>
        <w:t>.</w:t>
      </w:r>
      <w:r w:rsidR="00200971" w:rsidRPr="3EF605AE">
        <w:rPr>
          <w:rStyle w:val="Fotnotereferanse"/>
          <w:color w:val="auto"/>
        </w:rPr>
        <w:footnoteReference w:id="2"/>
      </w:r>
      <w:r w:rsidR="00200971" w:rsidRPr="3EF605AE">
        <w:rPr>
          <w:color w:val="auto"/>
        </w:rPr>
        <w:t xml:space="preserve"> </w:t>
      </w:r>
    </w:p>
    <w:p w14:paraId="4E9029D2" w14:textId="77777777" w:rsidR="00E76F71" w:rsidRDefault="00E76F71" w:rsidP="00F864A1">
      <w:pPr>
        <w:spacing w:before="0"/>
        <w:jc w:val="both"/>
        <w:rPr>
          <w:color w:val="auto"/>
          <w:szCs w:val="24"/>
        </w:rPr>
      </w:pPr>
    </w:p>
    <w:p w14:paraId="1BDEACE8" w14:textId="77777777" w:rsidR="00E76F71" w:rsidRDefault="00E76F71" w:rsidP="00F864A1">
      <w:pPr>
        <w:pStyle w:val="Overskrift4"/>
        <w:jc w:val="both"/>
      </w:pPr>
      <w:r>
        <w:t>Midlertidig ansatte</w:t>
      </w:r>
    </w:p>
    <w:p w14:paraId="489BFAF3" w14:textId="5F13ED02" w:rsidR="00E76F71" w:rsidRPr="00B4146B" w:rsidRDefault="00E76F71" w:rsidP="00F864A1">
      <w:pPr>
        <w:spacing w:before="0"/>
        <w:contextualSpacing/>
        <w:jc w:val="both"/>
        <w:rPr>
          <w:color w:val="auto"/>
          <w:szCs w:val="24"/>
        </w:rPr>
      </w:pPr>
      <w:r w:rsidRPr="00B4146B">
        <w:rPr>
          <w:color w:val="auto"/>
          <w:szCs w:val="24"/>
        </w:rPr>
        <w:t>I 2023 hadde selskapet 95 midlertidig ansatte, hvorav 17 var kvinner</w:t>
      </w:r>
      <w:r w:rsidR="008139F8" w:rsidRPr="00B4146B">
        <w:rPr>
          <w:color w:val="auto"/>
          <w:szCs w:val="24"/>
        </w:rPr>
        <w:t xml:space="preserve"> og d</w:t>
      </w:r>
      <w:r w:rsidRPr="00B4146B">
        <w:rPr>
          <w:color w:val="auto"/>
          <w:szCs w:val="24"/>
        </w:rPr>
        <w:t xml:space="preserve">isse utgjorde </w:t>
      </w:r>
      <w:r w:rsidR="00C8644A" w:rsidRPr="00B4146B">
        <w:rPr>
          <w:color w:val="auto"/>
          <w:szCs w:val="24"/>
        </w:rPr>
        <w:t xml:space="preserve">18 </w:t>
      </w:r>
      <w:r w:rsidR="00CB2F23" w:rsidRPr="00B4146B">
        <w:rPr>
          <w:color w:val="auto"/>
          <w:szCs w:val="24"/>
        </w:rPr>
        <w:t>%.</w:t>
      </w:r>
      <w:r w:rsidRPr="00B4146B">
        <w:rPr>
          <w:color w:val="auto"/>
          <w:szCs w:val="24"/>
        </w:rPr>
        <w:t xml:space="preserve"> </w:t>
      </w:r>
    </w:p>
    <w:p w14:paraId="60AD6517" w14:textId="7253A892" w:rsidR="00F35CA7" w:rsidRPr="00B4146B" w:rsidRDefault="00F35CA7" w:rsidP="00F864A1">
      <w:pPr>
        <w:spacing w:before="0"/>
        <w:contextualSpacing/>
        <w:jc w:val="both"/>
        <w:rPr>
          <w:b/>
          <w:bCs/>
          <w:color w:val="auto"/>
          <w:szCs w:val="24"/>
        </w:rPr>
      </w:pPr>
    </w:p>
    <w:p w14:paraId="02B4241F" w14:textId="43E56F28" w:rsidR="003446FB" w:rsidRPr="00B4146B" w:rsidRDefault="003446FB" w:rsidP="00F864A1">
      <w:pPr>
        <w:pStyle w:val="Overskrift4"/>
        <w:jc w:val="both"/>
      </w:pPr>
      <w:r w:rsidRPr="00B4146B">
        <w:t>Foreldrepermisjon</w:t>
      </w:r>
    </w:p>
    <w:p w14:paraId="4801E8E5" w14:textId="7756A3F1" w:rsidR="003274A8" w:rsidRDefault="5A1DA3EC" w:rsidP="00F864A1">
      <w:pPr>
        <w:spacing w:before="0"/>
        <w:contextualSpacing/>
        <w:jc w:val="both"/>
        <w:rPr>
          <w:color w:val="auto"/>
        </w:rPr>
      </w:pPr>
      <w:r w:rsidRPr="2C81BD9D">
        <w:rPr>
          <w:color w:val="auto"/>
        </w:rPr>
        <w:t xml:space="preserve">Gjennomsnittlig antall uker foreldrepermisjon </w:t>
      </w:r>
      <w:r w:rsidR="00D054CC" w:rsidRPr="2C81BD9D">
        <w:rPr>
          <w:color w:val="auto"/>
        </w:rPr>
        <w:t>i 202</w:t>
      </w:r>
      <w:r w:rsidR="1D143133" w:rsidRPr="2C81BD9D">
        <w:rPr>
          <w:color w:val="auto"/>
        </w:rPr>
        <w:t>3 var 14,1</w:t>
      </w:r>
      <w:r w:rsidR="71906CE5" w:rsidRPr="2C81BD9D">
        <w:rPr>
          <w:color w:val="auto"/>
        </w:rPr>
        <w:t xml:space="preserve"> uker</w:t>
      </w:r>
      <w:r w:rsidR="79815893" w:rsidRPr="2C81BD9D">
        <w:rPr>
          <w:color w:val="auto"/>
        </w:rPr>
        <w:t xml:space="preserve"> </w:t>
      </w:r>
      <w:r w:rsidR="00642722">
        <w:rPr>
          <w:color w:val="auto"/>
        </w:rPr>
        <w:t>totalt for</w:t>
      </w:r>
      <w:r w:rsidR="79815893" w:rsidRPr="2C81BD9D">
        <w:rPr>
          <w:color w:val="auto"/>
        </w:rPr>
        <w:t xml:space="preserve"> kvinner og menn</w:t>
      </w:r>
      <w:r w:rsidR="71906CE5" w:rsidRPr="2C81BD9D">
        <w:rPr>
          <w:color w:val="auto"/>
        </w:rPr>
        <w:t xml:space="preserve">. For kvinner </w:t>
      </w:r>
      <w:r w:rsidR="03BD536F" w:rsidRPr="2C81BD9D">
        <w:rPr>
          <w:color w:val="auto"/>
        </w:rPr>
        <w:t xml:space="preserve">er gjennomsnittlig antall uker </w:t>
      </w:r>
      <w:r w:rsidR="3599599D" w:rsidRPr="2C81BD9D">
        <w:rPr>
          <w:color w:val="auto"/>
        </w:rPr>
        <w:t>27,9</w:t>
      </w:r>
      <w:r w:rsidRPr="2C81BD9D">
        <w:rPr>
          <w:color w:val="auto"/>
        </w:rPr>
        <w:t xml:space="preserve"> </w:t>
      </w:r>
      <w:r w:rsidR="03BD536F" w:rsidRPr="2C81BD9D">
        <w:rPr>
          <w:color w:val="auto"/>
        </w:rPr>
        <w:t>mens for menn var gjennomsnittlig</w:t>
      </w:r>
      <w:r w:rsidR="00B17C9C">
        <w:rPr>
          <w:color w:val="auto"/>
        </w:rPr>
        <w:t xml:space="preserve"> </w:t>
      </w:r>
      <w:r w:rsidR="03BD536F" w:rsidRPr="2C81BD9D">
        <w:rPr>
          <w:color w:val="auto"/>
        </w:rPr>
        <w:t xml:space="preserve">antall uker </w:t>
      </w:r>
      <w:r w:rsidR="3599599D" w:rsidRPr="2C81BD9D">
        <w:rPr>
          <w:color w:val="auto"/>
        </w:rPr>
        <w:t>9,8</w:t>
      </w:r>
      <w:r w:rsidR="72B2319A" w:rsidRPr="2C81BD9D">
        <w:rPr>
          <w:color w:val="auto"/>
        </w:rPr>
        <w:t xml:space="preserve"> </w:t>
      </w:r>
      <w:r w:rsidRPr="2C81BD9D">
        <w:rPr>
          <w:color w:val="auto"/>
        </w:rPr>
        <w:t xml:space="preserve">uker. </w:t>
      </w:r>
      <w:r w:rsidR="39BBB99C" w:rsidRPr="2C81BD9D">
        <w:rPr>
          <w:color w:val="auto"/>
        </w:rPr>
        <w:t>Dette er i tråd med samfunnet ellers, der kvinner tar</w:t>
      </w:r>
      <w:r w:rsidR="136901C2" w:rsidRPr="2C81BD9D">
        <w:rPr>
          <w:color w:val="auto"/>
        </w:rPr>
        <w:t xml:space="preserve"> mesteparten av permisjonen. </w:t>
      </w:r>
      <w:r w:rsidR="7D3BF193" w:rsidRPr="2C81BD9D">
        <w:rPr>
          <w:color w:val="auto"/>
        </w:rPr>
        <w:t xml:space="preserve">For menn </w:t>
      </w:r>
      <w:r w:rsidR="006E56CD">
        <w:rPr>
          <w:color w:val="auto"/>
        </w:rPr>
        <w:lastRenderedPageBreak/>
        <w:t xml:space="preserve">spesifikt </w:t>
      </w:r>
      <w:r w:rsidR="7D3BF193" w:rsidRPr="2C81BD9D">
        <w:rPr>
          <w:color w:val="auto"/>
        </w:rPr>
        <w:t xml:space="preserve">er det lavere </w:t>
      </w:r>
      <w:r w:rsidR="6C4E0A4A" w:rsidRPr="2C81BD9D">
        <w:rPr>
          <w:color w:val="auto"/>
        </w:rPr>
        <w:t>enn det en kunne forvente basert på fedrekvoten</w:t>
      </w:r>
      <w:r w:rsidR="4675B18B" w:rsidRPr="2C81BD9D">
        <w:rPr>
          <w:color w:val="auto"/>
        </w:rPr>
        <w:t xml:space="preserve"> og at man har langt flere menn enn kvinner ansatt</w:t>
      </w:r>
      <w:r w:rsidR="512C9F8F" w:rsidRPr="2C81BD9D">
        <w:rPr>
          <w:color w:val="auto"/>
        </w:rPr>
        <w:t>. Det kan tyde på at det er familier</w:t>
      </w:r>
      <w:r w:rsidR="70E7B419" w:rsidRPr="2C81BD9D">
        <w:rPr>
          <w:color w:val="auto"/>
        </w:rPr>
        <w:t xml:space="preserve"> som ikke nødvendigvis har full opptjening</w:t>
      </w:r>
      <w:r w:rsidR="7254D778" w:rsidRPr="2C81BD9D">
        <w:rPr>
          <w:color w:val="auto"/>
        </w:rPr>
        <w:t xml:space="preserve"> til foreldrepenger for mor </w:t>
      </w:r>
      <w:r w:rsidR="7AC541AE" w:rsidRPr="2C81BD9D">
        <w:rPr>
          <w:color w:val="auto"/>
        </w:rPr>
        <w:t xml:space="preserve">eller far til barnet. </w:t>
      </w:r>
    </w:p>
    <w:p w14:paraId="04F2503D" w14:textId="77777777" w:rsidR="003274A8" w:rsidRDefault="003274A8" w:rsidP="00F864A1">
      <w:pPr>
        <w:spacing w:before="0"/>
        <w:contextualSpacing/>
        <w:jc w:val="both"/>
        <w:rPr>
          <w:color w:val="auto"/>
          <w:szCs w:val="24"/>
        </w:rPr>
      </w:pPr>
    </w:p>
    <w:p w14:paraId="7D9B1069" w14:textId="7A322B06" w:rsidR="3EF605AE" w:rsidRDefault="471C2B62" w:rsidP="00F864A1">
      <w:pPr>
        <w:spacing w:before="0"/>
        <w:contextualSpacing/>
        <w:jc w:val="both"/>
        <w:rPr>
          <w:color w:val="7BA88B" w:themeColor="accent1" w:themeShade="BF"/>
        </w:rPr>
      </w:pPr>
      <w:r w:rsidRPr="2C81BD9D">
        <w:rPr>
          <w:color w:val="auto"/>
        </w:rPr>
        <w:t xml:space="preserve">Det kan bemerkes at det </w:t>
      </w:r>
      <w:r w:rsidR="4CF560C6" w:rsidRPr="2C81BD9D">
        <w:rPr>
          <w:color w:val="auto"/>
        </w:rPr>
        <w:t>var totalt 20 kvinner</w:t>
      </w:r>
      <w:r w:rsidRPr="2C81BD9D">
        <w:rPr>
          <w:color w:val="auto"/>
        </w:rPr>
        <w:t xml:space="preserve"> (</w:t>
      </w:r>
      <w:r w:rsidR="4A8559ED" w:rsidRPr="2C81BD9D">
        <w:rPr>
          <w:color w:val="auto"/>
        </w:rPr>
        <w:t xml:space="preserve">mot </w:t>
      </w:r>
      <w:r w:rsidRPr="2C81BD9D">
        <w:rPr>
          <w:color w:val="auto"/>
        </w:rPr>
        <w:t xml:space="preserve">11 </w:t>
      </w:r>
      <w:r w:rsidR="4A8559ED" w:rsidRPr="2C81BD9D">
        <w:rPr>
          <w:color w:val="auto"/>
        </w:rPr>
        <w:t>i 2022</w:t>
      </w:r>
      <w:r w:rsidRPr="2C81BD9D">
        <w:rPr>
          <w:color w:val="auto"/>
        </w:rPr>
        <w:t>) som tok ut permisjon i 202</w:t>
      </w:r>
      <w:r w:rsidR="4A8559ED" w:rsidRPr="2C81BD9D">
        <w:rPr>
          <w:color w:val="auto"/>
        </w:rPr>
        <w:t>3</w:t>
      </w:r>
      <w:r w:rsidR="00F9046A">
        <w:rPr>
          <w:color w:val="auto"/>
        </w:rPr>
        <w:t>.</w:t>
      </w:r>
      <w:r w:rsidR="1AC074A3" w:rsidRPr="2C81BD9D">
        <w:rPr>
          <w:color w:val="auto"/>
        </w:rPr>
        <w:t xml:space="preserve"> </w:t>
      </w:r>
      <w:r w:rsidR="2C392425" w:rsidRPr="2C81BD9D">
        <w:rPr>
          <w:color w:val="auto"/>
        </w:rPr>
        <w:t>Flertallet av</w:t>
      </w:r>
      <w:r w:rsidR="1589D793" w:rsidRPr="2C81BD9D">
        <w:rPr>
          <w:color w:val="auto"/>
        </w:rPr>
        <w:t xml:space="preserve"> kvinner </w:t>
      </w:r>
      <w:r w:rsidR="7D0DF4A0" w:rsidRPr="2C81BD9D">
        <w:rPr>
          <w:color w:val="auto"/>
        </w:rPr>
        <w:t xml:space="preserve">som tok permisjon, </w:t>
      </w:r>
      <w:r w:rsidR="1589D793" w:rsidRPr="2C81BD9D">
        <w:rPr>
          <w:color w:val="auto"/>
        </w:rPr>
        <w:t xml:space="preserve">hadde mellom </w:t>
      </w:r>
      <w:r w:rsidR="206970D7" w:rsidRPr="2C81BD9D">
        <w:rPr>
          <w:color w:val="auto"/>
        </w:rPr>
        <w:t>20-42</w:t>
      </w:r>
      <w:r w:rsidR="1589D793" w:rsidRPr="2C81BD9D">
        <w:rPr>
          <w:color w:val="auto"/>
        </w:rPr>
        <w:t xml:space="preserve"> ukers permisjon. </w:t>
      </w:r>
    </w:p>
    <w:p w14:paraId="2432A57B" w14:textId="77777777" w:rsidR="008F622D" w:rsidRDefault="008F622D" w:rsidP="00F864A1">
      <w:pPr>
        <w:spacing w:before="0"/>
        <w:contextualSpacing/>
        <w:jc w:val="both"/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</w:pPr>
    </w:p>
    <w:p w14:paraId="2301749F" w14:textId="2B317A6E" w:rsidR="00D4104F" w:rsidRPr="00D4104F" w:rsidRDefault="00D4104F" w:rsidP="00F864A1">
      <w:pPr>
        <w:spacing w:before="0"/>
        <w:contextualSpacing/>
        <w:jc w:val="both"/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</w:pPr>
      <w:r w:rsidRPr="00D4104F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Deltidsansatte</w:t>
      </w:r>
    </w:p>
    <w:p w14:paraId="693F3E1D" w14:textId="6B052C37" w:rsidR="00157C5B" w:rsidRPr="00E02E96" w:rsidRDefault="00E02E96" w:rsidP="00F864A1">
      <w:pPr>
        <w:spacing w:before="0"/>
        <w:contextualSpacing/>
        <w:jc w:val="both"/>
        <w:rPr>
          <w:color w:val="auto"/>
        </w:rPr>
      </w:pPr>
      <w:r w:rsidRPr="3EF605AE">
        <w:rPr>
          <w:rFonts w:asciiTheme="majorHAnsi" w:hAnsiTheme="majorHAnsi"/>
          <w:color w:val="auto"/>
        </w:rPr>
        <w:t xml:space="preserve">Konsernet lyser ut og ansetter stort sett kun 100 prosent stillinger og har derfor få ansatte i deltidsstillinger. </w:t>
      </w:r>
      <w:r w:rsidR="00D4104F" w:rsidRPr="3EF605AE">
        <w:rPr>
          <w:color w:val="auto"/>
        </w:rPr>
        <w:t>I 2023 hadde selskapet</w:t>
      </w:r>
      <w:r w:rsidR="00EE343D">
        <w:rPr>
          <w:color w:val="auto"/>
        </w:rPr>
        <w:t>s</w:t>
      </w:r>
      <w:r w:rsidR="003638DA" w:rsidRPr="3EF605AE">
        <w:rPr>
          <w:color w:val="auto"/>
        </w:rPr>
        <w:t xml:space="preserve"> aktivitet i Norge</w:t>
      </w:r>
      <w:r w:rsidR="00D4104F" w:rsidRPr="3EF605AE">
        <w:rPr>
          <w:color w:val="auto"/>
        </w:rPr>
        <w:t xml:space="preserve"> 85 deltidsansatte av i alt 1849</w:t>
      </w:r>
      <w:r w:rsidR="00762A45" w:rsidRPr="3EF605AE">
        <w:rPr>
          <w:color w:val="auto"/>
        </w:rPr>
        <w:t xml:space="preserve"> ansatte</w:t>
      </w:r>
      <w:r w:rsidR="00D4104F" w:rsidRPr="3EF605AE">
        <w:rPr>
          <w:color w:val="auto"/>
        </w:rPr>
        <w:t>, hvorav 20 var kvinner. Disse 20</w:t>
      </w:r>
      <w:r w:rsidR="00DB797D">
        <w:rPr>
          <w:color w:val="auto"/>
        </w:rPr>
        <w:t xml:space="preserve"> kvinnene</w:t>
      </w:r>
      <w:r w:rsidR="00D4104F" w:rsidRPr="3EF605AE">
        <w:rPr>
          <w:color w:val="auto"/>
        </w:rPr>
        <w:t xml:space="preserve"> utgjorde </w:t>
      </w:r>
      <w:r w:rsidR="00FB74EA" w:rsidRPr="3EF605AE">
        <w:rPr>
          <w:color w:val="auto"/>
        </w:rPr>
        <w:t>24</w:t>
      </w:r>
      <w:r w:rsidR="00EA442A" w:rsidRPr="3EF605AE">
        <w:rPr>
          <w:color w:val="auto"/>
        </w:rPr>
        <w:t xml:space="preserve"> prosent av alle deltidsansatte </w:t>
      </w:r>
    </w:p>
    <w:p w14:paraId="2E25AE63" w14:textId="5E575701" w:rsidR="3EF605AE" w:rsidRDefault="3EF605AE" w:rsidP="00F864A1">
      <w:pPr>
        <w:spacing w:before="0"/>
        <w:contextualSpacing/>
        <w:jc w:val="both"/>
        <w:rPr>
          <w:color w:val="auto"/>
        </w:rPr>
      </w:pPr>
    </w:p>
    <w:p w14:paraId="733E0A01" w14:textId="23C0593E" w:rsidR="00C46423" w:rsidRDefault="00CA2647" w:rsidP="00F864A1">
      <w:pPr>
        <w:spacing w:before="0"/>
        <w:contextualSpacing/>
        <w:jc w:val="both"/>
        <w:rPr>
          <w:rFonts w:asciiTheme="majorHAnsi" w:hAnsiTheme="majorHAnsi"/>
          <w:color w:val="auto"/>
          <w:szCs w:val="24"/>
        </w:rPr>
      </w:pPr>
      <w:r w:rsidRPr="00E02E96">
        <w:rPr>
          <w:rFonts w:asciiTheme="majorHAnsi" w:hAnsiTheme="majorHAnsi"/>
          <w:color w:val="auto"/>
          <w:szCs w:val="24"/>
        </w:rPr>
        <w:t xml:space="preserve">Deltidsarbeid er </w:t>
      </w:r>
      <w:r w:rsidR="00E77888" w:rsidRPr="00E02E96">
        <w:rPr>
          <w:rFonts w:asciiTheme="majorHAnsi" w:hAnsiTheme="majorHAnsi"/>
          <w:color w:val="auto"/>
          <w:szCs w:val="24"/>
        </w:rPr>
        <w:t>en mulighet for</w:t>
      </w:r>
      <w:r w:rsidR="004554B8" w:rsidRPr="00E02E96">
        <w:rPr>
          <w:rFonts w:asciiTheme="majorHAnsi" w:hAnsiTheme="majorHAnsi"/>
          <w:color w:val="auto"/>
          <w:szCs w:val="24"/>
        </w:rPr>
        <w:t xml:space="preserve"> </w:t>
      </w:r>
      <w:r w:rsidR="00A94936" w:rsidRPr="00E02E96">
        <w:rPr>
          <w:rFonts w:asciiTheme="majorHAnsi" w:hAnsiTheme="majorHAnsi"/>
          <w:color w:val="auto"/>
          <w:szCs w:val="24"/>
        </w:rPr>
        <w:t xml:space="preserve">tilrettelegging knyttet til livssituasjon, </w:t>
      </w:r>
      <w:r w:rsidR="00E77888" w:rsidRPr="00E02E96">
        <w:rPr>
          <w:rFonts w:asciiTheme="majorHAnsi" w:hAnsiTheme="majorHAnsi"/>
          <w:color w:val="auto"/>
          <w:szCs w:val="24"/>
        </w:rPr>
        <w:t>for eksempel</w:t>
      </w:r>
      <w:r w:rsidR="00915732" w:rsidRPr="00E02E96">
        <w:rPr>
          <w:rFonts w:asciiTheme="majorHAnsi" w:hAnsiTheme="majorHAnsi"/>
          <w:color w:val="auto"/>
          <w:szCs w:val="24"/>
        </w:rPr>
        <w:t xml:space="preserve"> ved behov for</w:t>
      </w:r>
      <w:r w:rsidR="00CB5C0C" w:rsidRPr="00E02E96">
        <w:rPr>
          <w:rFonts w:asciiTheme="majorHAnsi" w:hAnsiTheme="majorHAnsi"/>
          <w:color w:val="auto"/>
          <w:szCs w:val="24"/>
        </w:rPr>
        <w:t xml:space="preserve"> redusert arbeidstid i forbindelse med </w:t>
      </w:r>
      <w:r w:rsidR="00915732" w:rsidRPr="00E02E96">
        <w:rPr>
          <w:rFonts w:asciiTheme="majorHAnsi" w:hAnsiTheme="majorHAnsi"/>
          <w:color w:val="auto"/>
          <w:szCs w:val="24"/>
        </w:rPr>
        <w:t xml:space="preserve">å vende tilbake til arbeidet etter </w:t>
      </w:r>
      <w:r w:rsidR="00CB5C0C" w:rsidRPr="00E02E96">
        <w:rPr>
          <w:rFonts w:asciiTheme="majorHAnsi" w:hAnsiTheme="majorHAnsi"/>
          <w:color w:val="auto"/>
          <w:szCs w:val="24"/>
        </w:rPr>
        <w:t>langtids sykdom</w:t>
      </w:r>
      <w:r w:rsidR="00616BAE">
        <w:rPr>
          <w:rFonts w:asciiTheme="majorHAnsi" w:hAnsiTheme="majorHAnsi"/>
          <w:color w:val="auto"/>
          <w:szCs w:val="24"/>
        </w:rPr>
        <w:t xml:space="preserve"> eller for å få en travel hverdag til å gå opp</w:t>
      </w:r>
      <w:r w:rsidR="00915732" w:rsidRPr="00E02E96">
        <w:rPr>
          <w:rFonts w:asciiTheme="majorHAnsi" w:hAnsiTheme="majorHAnsi"/>
          <w:color w:val="auto"/>
          <w:szCs w:val="24"/>
        </w:rPr>
        <w:t xml:space="preserve">. Noen av konsernets deltidsansatte er </w:t>
      </w:r>
      <w:r w:rsidR="00772B2C" w:rsidRPr="00E02E96">
        <w:rPr>
          <w:rFonts w:asciiTheme="majorHAnsi" w:hAnsiTheme="majorHAnsi"/>
          <w:color w:val="auto"/>
          <w:szCs w:val="24"/>
        </w:rPr>
        <w:t xml:space="preserve">midlertidig ansatte, men </w:t>
      </w:r>
      <w:r w:rsidRPr="00E02E96">
        <w:rPr>
          <w:rFonts w:asciiTheme="majorHAnsi" w:hAnsiTheme="majorHAnsi"/>
          <w:color w:val="auto"/>
          <w:szCs w:val="24"/>
        </w:rPr>
        <w:t xml:space="preserve">også </w:t>
      </w:r>
      <w:r w:rsidR="006E56CD">
        <w:rPr>
          <w:rFonts w:asciiTheme="majorHAnsi" w:hAnsiTheme="majorHAnsi"/>
          <w:color w:val="auto"/>
          <w:szCs w:val="24"/>
        </w:rPr>
        <w:t xml:space="preserve">mange av dem er </w:t>
      </w:r>
      <w:r w:rsidR="00915732" w:rsidRPr="00E02E96">
        <w:rPr>
          <w:rFonts w:asciiTheme="majorHAnsi" w:hAnsiTheme="majorHAnsi"/>
          <w:color w:val="auto"/>
          <w:szCs w:val="24"/>
        </w:rPr>
        <w:t xml:space="preserve">studenter. </w:t>
      </w:r>
      <w:r w:rsidR="00157C5B" w:rsidRPr="00E02E96">
        <w:rPr>
          <w:rFonts w:asciiTheme="majorHAnsi" w:hAnsiTheme="majorHAnsi"/>
          <w:color w:val="auto"/>
          <w:szCs w:val="24"/>
        </w:rPr>
        <w:t>Konsernet har sett på tematikken og anser ikke at deltid er ufrivillig for medarbeidere.</w:t>
      </w:r>
    </w:p>
    <w:p w14:paraId="3C588252" w14:textId="77777777" w:rsidR="005E3E33" w:rsidRDefault="005E3E33" w:rsidP="00F864A1">
      <w:pPr>
        <w:spacing w:before="0"/>
        <w:contextualSpacing/>
        <w:jc w:val="both"/>
        <w:rPr>
          <w:rFonts w:asciiTheme="majorHAnsi" w:hAnsiTheme="majorHAnsi"/>
          <w:color w:val="auto"/>
          <w:szCs w:val="24"/>
        </w:rPr>
      </w:pPr>
    </w:p>
    <w:p w14:paraId="620C29CD" w14:textId="44D47FBC" w:rsidR="00F70AFB" w:rsidRPr="005E3E33" w:rsidRDefault="00F70AFB" w:rsidP="00F864A1">
      <w:pPr>
        <w:pStyle w:val="Overskrift3"/>
        <w:jc w:val="both"/>
      </w:pPr>
      <w:r>
        <w:t>Stillingskategorier i NG</w:t>
      </w:r>
      <w:r w:rsidR="00E0459D">
        <w:t xml:space="preserve"> Group</w:t>
      </w:r>
      <w:r>
        <w:t xml:space="preserve"> </w:t>
      </w:r>
    </w:p>
    <w:p w14:paraId="27FABA1B" w14:textId="7CED9435" w:rsidR="00684A47" w:rsidRDefault="00F70AFB" w:rsidP="00F864A1">
      <w:pPr>
        <w:jc w:val="both"/>
      </w:pPr>
      <w:r w:rsidRPr="00045840">
        <w:t>Jobb</w:t>
      </w:r>
      <w:r w:rsidR="00684A47">
        <w:t xml:space="preserve">roller </w:t>
      </w:r>
      <w:r w:rsidRPr="00045840">
        <w:t xml:space="preserve">er ikke standardisert i </w:t>
      </w:r>
      <w:r>
        <w:t>konsernets selskaper</w:t>
      </w:r>
      <w:r w:rsidRPr="00045840">
        <w:t xml:space="preserve">, men </w:t>
      </w:r>
      <w:r w:rsidR="00684A47">
        <w:t xml:space="preserve">alle stillinger er </w:t>
      </w:r>
      <w:r w:rsidRPr="00045840">
        <w:t xml:space="preserve">gruppert </w:t>
      </w:r>
      <w:r>
        <w:t xml:space="preserve">i </w:t>
      </w:r>
      <w:r w:rsidR="006506AF">
        <w:t xml:space="preserve">følgende kategorier: </w:t>
      </w:r>
    </w:p>
    <w:p w14:paraId="2875A214" w14:textId="0991DD67" w:rsidR="00684A47" w:rsidRDefault="00684A47" w:rsidP="00F864A1">
      <w:pPr>
        <w:pStyle w:val="Listeavsnitt"/>
        <w:numPr>
          <w:ilvl w:val="0"/>
          <w:numId w:val="31"/>
        </w:numPr>
        <w:jc w:val="both"/>
      </w:pPr>
      <w:r>
        <w:t>Konsernledelse</w:t>
      </w:r>
    </w:p>
    <w:p w14:paraId="54115FD6" w14:textId="202E56D4" w:rsidR="00684A47" w:rsidRDefault="00684A47" w:rsidP="00F864A1">
      <w:pPr>
        <w:pStyle w:val="Listeavsnitt"/>
        <w:numPr>
          <w:ilvl w:val="0"/>
          <w:numId w:val="31"/>
        </w:numPr>
        <w:jc w:val="both"/>
      </w:pPr>
      <w:r>
        <w:t>Leder med personalansvar</w:t>
      </w:r>
    </w:p>
    <w:p w14:paraId="37D452FF" w14:textId="1782F85E" w:rsidR="00684A47" w:rsidRDefault="00684A47" w:rsidP="00F864A1">
      <w:pPr>
        <w:pStyle w:val="Listeavsnitt"/>
        <w:numPr>
          <w:ilvl w:val="0"/>
          <w:numId w:val="31"/>
        </w:numPr>
        <w:jc w:val="both"/>
      </w:pPr>
      <w:r>
        <w:t>Leder med personalansvar operativ</w:t>
      </w:r>
    </w:p>
    <w:p w14:paraId="1D717F7D" w14:textId="73ED32E2" w:rsidR="00684A47" w:rsidRDefault="00977597" w:rsidP="00F864A1">
      <w:pPr>
        <w:pStyle w:val="Listeavsnitt"/>
        <w:numPr>
          <w:ilvl w:val="0"/>
          <w:numId w:val="31"/>
        </w:numPr>
        <w:jc w:val="both"/>
      </w:pPr>
      <w:r>
        <w:t>Spesialist</w:t>
      </w:r>
      <w:r w:rsidR="00684A47">
        <w:t>stilling</w:t>
      </w:r>
    </w:p>
    <w:p w14:paraId="5D9EB3AB" w14:textId="243AD18A" w:rsidR="00977597" w:rsidRDefault="00977597" w:rsidP="00F864A1">
      <w:pPr>
        <w:pStyle w:val="Listeavsnitt"/>
        <w:numPr>
          <w:ilvl w:val="0"/>
          <w:numId w:val="31"/>
        </w:numPr>
        <w:jc w:val="both"/>
      </w:pPr>
      <w:r>
        <w:t>Funksjonær</w:t>
      </w:r>
    </w:p>
    <w:p w14:paraId="3D2CE9BA" w14:textId="77777777" w:rsidR="00977597" w:rsidRDefault="00977597" w:rsidP="00F864A1">
      <w:pPr>
        <w:pStyle w:val="Listeavsnitt"/>
        <w:numPr>
          <w:ilvl w:val="0"/>
          <w:numId w:val="31"/>
        </w:numPr>
        <w:jc w:val="both"/>
      </w:pPr>
      <w:r>
        <w:t>Salg og Marked</w:t>
      </w:r>
    </w:p>
    <w:p w14:paraId="3A6A2E38" w14:textId="52630E6A" w:rsidR="00977597" w:rsidRDefault="00977597" w:rsidP="00F864A1">
      <w:pPr>
        <w:pStyle w:val="Listeavsnitt"/>
        <w:numPr>
          <w:ilvl w:val="0"/>
          <w:numId w:val="31"/>
        </w:numPr>
        <w:jc w:val="both"/>
      </w:pPr>
      <w:r>
        <w:t>Operativ</w:t>
      </w:r>
    </w:p>
    <w:p w14:paraId="07536B9B" w14:textId="77777777" w:rsidR="005E3E33" w:rsidRDefault="006D1420" w:rsidP="00F864A1">
      <w:pPr>
        <w:jc w:val="both"/>
      </w:pPr>
      <w:r>
        <w:t>Da det er stor forskjell på type</w:t>
      </w:r>
      <w:r w:rsidR="003428C3">
        <w:t xml:space="preserve"> oppgaver i</w:t>
      </w:r>
      <w:r>
        <w:t xml:space="preserve"> lederstilling i og utenfor operativ drift</w:t>
      </w:r>
      <w:r w:rsidR="00D42DFC">
        <w:t xml:space="preserve">, </w:t>
      </w:r>
      <w:r w:rsidR="00545EB9">
        <w:t>er</w:t>
      </w:r>
      <w:r w:rsidR="00D42DFC">
        <w:t xml:space="preserve"> ledere i operativ drift </w:t>
      </w:r>
      <w:r w:rsidR="00545EB9">
        <w:t xml:space="preserve">kartlagt </w:t>
      </w:r>
      <w:r w:rsidR="00D42DFC">
        <w:t>som en egen kategori.</w:t>
      </w:r>
      <w:r w:rsidR="00F75E09">
        <w:t xml:space="preserve"> </w:t>
      </w:r>
    </w:p>
    <w:p w14:paraId="77379473" w14:textId="77777777" w:rsidR="005E3E33" w:rsidRDefault="005E3E33" w:rsidP="00F864A1">
      <w:pPr>
        <w:spacing w:before="0" w:after="120" w:line="312" w:lineRule="auto"/>
        <w:jc w:val="both"/>
      </w:pPr>
      <w:r>
        <w:br w:type="page"/>
      </w:r>
    </w:p>
    <w:p w14:paraId="77EE45EB" w14:textId="2653C84A" w:rsidR="008A3A6C" w:rsidRDefault="008A3A6C" w:rsidP="00F864A1">
      <w:pPr>
        <w:jc w:val="both"/>
        <w:rPr>
          <w:color w:val="auto"/>
        </w:rPr>
      </w:pPr>
      <w:r>
        <w:rPr>
          <w:color w:val="auto"/>
        </w:rPr>
        <w:lastRenderedPageBreak/>
        <w:t xml:space="preserve">Tabellen under viser kjønnsfordeling på </w:t>
      </w:r>
      <w:r w:rsidR="00545EB9">
        <w:rPr>
          <w:color w:val="auto"/>
        </w:rPr>
        <w:t xml:space="preserve">totalt syv </w:t>
      </w:r>
      <w:r>
        <w:rPr>
          <w:color w:val="auto"/>
        </w:rPr>
        <w:t>ulike stillingskategorier i NG</w:t>
      </w:r>
      <w:r w:rsidR="00545EB9">
        <w:rPr>
          <w:color w:val="auto"/>
        </w:rPr>
        <w:t xml:space="preserve"> Group</w:t>
      </w:r>
      <w:r w:rsidR="00E13814">
        <w:rPr>
          <w:color w:val="auto"/>
        </w:rPr>
        <w:t xml:space="preserve"> i Norge</w:t>
      </w:r>
      <w:r>
        <w:rPr>
          <w:color w:val="auto"/>
        </w:rPr>
        <w:t xml:space="preserve">. Totalt er det </w:t>
      </w:r>
      <w:r w:rsidR="00D62369">
        <w:rPr>
          <w:color w:val="auto"/>
        </w:rPr>
        <w:t>306</w:t>
      </w:r>
      <w:r w:rsidRPr="00461133">
        <w:rPr>
          <w:color w:val="auto"/>
        </w:rPr>
        <w:t xml:space="preserve"> kvinner og </w:t>
      </w:r>
      <w:r w:rsidR="00D62369">
        <w:rPr>
          <w:color w:val="auto"/>
        </w:rPr>
        <w:t>1543</w:t>
      </w:r>
      <w:r w:rsidRPr="00461133">
        <w:rPr>
          <w:color w:val="auto"/>
        </w:rPr>
        <w:t xml:space="preserve"> menn</w:t>
      </w:r>
      <w:r>
        <w:rPr>
          <w:color w:val="auto"/>
        </w:rPr>
        <w:t xml:space="preserve"> ansatt i norske selskaper i konsernet. </w:t>
      </w:r>
      <w:r w:rsidR="00B17C9C">
        <w:rPr>
          <w:color w:val="auto"/>
        </w:rPr>
        <w:t>Det er betydelig flere mannlige (</w:t>
      </w:r>
      <w:r w:rsidR="00B17C9C" w:rsidRPr="21A4900B">
        <w:rPr>
          <w:color w:val="auto"/>
        </w:rPr>
        <w:t>109</w:t>
      </w:r>
      <w:r w:rsidR="10566F2D" w:rsidRPr="21A4900B">
        <w:rPr>
          <w:color w:val="auto"/>
        </w:rPr>
        <w:t>4</w:t>
      </w:r>
      <w:r w:rsidR="00B17C9C">
        <w:rPr>
          <w:color w:val="auto"/>
        </w:rPr>
        <w:t xml:space="preserve">) enn kvinnelige operatører (46). Denne differansen trekker selvfølgelig ned kvinneandelen av totalt ansatte.  </w:t>
      </w:r>
      <w:r>
        <w:rPr>
          <w:color w:val="auto"/>
        </w:rPr>
        <w:t xml:space="preserve">Kvinneandelen </w:t>
      </w:r>
      <w:r w:rsidR="00B17C9C">
        <w:rPr>
          <w:color w:val="auto"/>
        </w:rPr>
        <w:t xml:space="preserve">totalt </w:t>
      </w:r>
      <w:r>
        <w:rPr>
          <w:color w:val="auto"/>
        </w:rPr>
        <w:t xml:space="preserve">er </w:t>
      </w:r>
      <w:r w:rsidR="00B17C9C">
        <w:rPr>
          <w:color w:val="auto"/>
        </w:rPr>
        <w:t xml:space="preserve">på </w:t>
      </w:r>
      <w:r>
        <w:rPr>
          <w:color w:val="auto"/>
        </w:rPr>
        <w:t>1</w:t>
      </w:r>
      <w:r w:rsidR="00D62369">
        <w:rPr>
          <w:color w:val="auto"/>
        </w:rPr>
        <w:t>7</w:t>
      </w:r>
      <w:r>
        <w:rPr>
          <w:color w:val="auto"/>
        </w:rPr>
        <w:t xml:space="preserve"> prosent.</w:t>
      </w:r>
    </w:p>
    <w:p w14:paraId="0767C5FE" w14:textId="77777777" w:rsidR="00C46423" w:rsidRDefault="00C46423" w:rsidP="00F864A1">
      <w:pPr>
        <w:jc w:val="both"/>
        <w:rPr>
          <w:color w:val="aut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2268"/>
      </w:tblGrid>
      <w:tr w:rsidR="001B6736" w:rsidRPr="00122C96" w14:paraId="378D069C" w14:textId="77777777" w:rsidTr="00977F00">
        <w:trPr>
          <w:trHeight w:val="461"/>
        </w:trPr>
        <w:tc>
          <w:tcPr>
            <w:tcW w:w="9067" w:type="dxa"/>
            <w:gridSpan w:val="4"/>
            <w:shd w:val="clear" w:color="auto" w:fill="00B0F0"/>
          </w:tcPr>
          <w:p w14:paraId="255E8E7D" w14:textId="778F586F" w:rsidR="001B6736" w:rsidRPr="00CC3C31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CC3C31">
              <w:rPr>
                <w:b/>
                <w:bCs/>
              </w:rPr>
              <w:t>Kjønnsfordeling på ulike stillingsnivå/</w:t>
            </w:r>
            <w:r>
              <w:rPr>
                <w:b/>
                <w:bCs/>
              </w:rPr>
              <w:t>-</w:t>
            </w:r>
            <w:r w:rsidRPr="00CC3C31">
              <w:rPr>
                <w:b/>
                <w:bCs/>
              </w:rPr>
              <w:t>grupper</w:t>
            </w:r>
            <w:r>
              <w:rPr>
                <w:b/>
                <w:bCs/>
              </w:rPr>
              <w:t xml:space="preserve"> </w:t>
            </w:r>
            <w:r w:rsidR="006116A0">
              <w:rPr>
                <w:b/>
                <w:bCs/>
              </w:rPr>
              <w:t>per 3</w:t>
            </w:r>
            <w:r w:rsidR="00B06B7D">
              <w:rPr>
                <w:b/>
                <w:bCs/>
              </w:rPr>
              <w:t>1</w:t>
            </w:r>
            <w:r w:rsidR="006116A0">
              <w:rPr>
                <w:b/>
                <w:bCs/>
              </w:rPr>
              <w:t>.12.</w:t>
            </w:r>
            <w:r>
              <w:rPr>
                <w:b/>
                <w:bCs/>
              </w:rPr>
              <w:t>2023</w:t>
            </w:r>
          </w:p>
        </w:tc>
      </w:tr>
      <w:tr w:rsidR="001B6736" w:rsidRPr="00122C96" w14:paraId="50FA3201" w14:textId="77777777" w:rsidTr="00977F00">
        <w:trPr>
          <w:trHeight w:val="441"/>
        </w:trPr>
        <w:tc>
          <w:tcPr>
            <w:tcW w:w="2972" w:type="dxa"/>
            <w:shd w:val="clear" w:color="auto" w:fill="00B0F0"/>
            <w:hideMark/>
          </w:tcPr>
          <w:p w14:paraId="3843672A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S</w:t>
            </w: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tillingsnivå/-gruppe</w:t>
            </w:r>
          </w:p>
        </w:tc>
        <w:tc>
          <w:tcPr>
            <w:tcW w:w="1843" w:type="dxa"/>
            <w:shd w:val="clear" w:color="auto" w:fill="auto"/>
            <w:hideMark/>
          </w:tcPr>
          <w:p w14:paraId="0CD97D98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Kvinner</w:t>
            </w:r>
            <w:r w:rsidRPr="00380705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 xml:space="preserve"> (antall)</w:t>
            </w:r>
          </w:p>
        </w:tc>
        <w:tc>
          <w:tcPr>
            <w:tcW w:w="1984" w:type="dxa"/>
            <w:shd w:val="clear" w:color="auto" w:fill="auto"/>
            <w:hideMark/>
          </w:tcPr>
          <w:p w14:paraId="0EB3E0B3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Menn</w:t>
            </w:r>
            <w:r w:rsidRPr="00380705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 xml:space="preserve"> (antall)</w:t>
            </w:r>
          </w:p>
        </w:tc>
        <w:tc>
          <w:tcPr>
            <w:tcW w:w="2268" w:type="dxa"/>
            <w:shd w:val="clear" w:color="auto" w:fill="auto"/>
            <w:hideMark/>
          </w:tcPr>
          <w:p w14:paraId="25BFFA83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Andel kvinner</w:t>
            </w:r>
          </w:p>
        </w:tc>
      </w:tr>
      <w:tr w:rsidR="001B6736" w:rsidRPr="00122C96" w14:paraId="328883D3" w14:textId="77777777" w:rsidTr="00977F00">
        <w:trPr>
          <w:trHeight w:val="408"/>
        </w:trPr>
        <w:tc>
          <w:tcPr>
            <w:tcW w:w="2972" w:type="dxa"/>
            <w:shd w:val="clear" w:color="auto" w:fill="00B0F0"/>
            <w:hideMark/>
          </w:tcPr>
          <w:p w14:paraId="295D35F8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Leder med personalansvar</w:t>
            </w:r>
          </w:p>
        </w:tc>
        <w:tc>
          <w:tcPr>
            <w:tcW w:w="1843" w:type="dxa"/>
            <w:shd w:val="clear" w:color="auto" w:fill="auto"/>
            <w:hideMark/>
          </w:tcPr>
          <w:p w14:paraId="77EC2A41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14:paraId="3A1E0489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115</w:t>
            </w:r>
          </w:p>
        </w:tc>
        <w:tc>
          <w:tcPr>
            <w:tcW w:w="2268" w:type="dxa"/>
            <w:shd w:val="clear" w:color="auto" w:fill="auto"/>
            <w:hideMark/>
          </w:tcPr>
          <w:p w14:paraId="2CA0DE9A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2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30DCB705" w14:textId="77777777" w:rsidTr="00977F00">
        <w:trPr>
          <w:trHeight w:val="569"/>
        </w:trPr>
        <w:tc>
          <w:tcPr>
            <w:tcW w:w="2972" w:type="dxa"/>
            <w:shd w:val="clear" w:color="auto" w:fill="00B0F0"/>
            <w:hideMark/>
          </w:tcPr>
          <w:p w14:paraId="3A36133D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Leder med personalansvar operativt</w:t>
            </w:r>
          </w:p>
        </w:tc>
        <w:tc>
          <w:tcPr>
            <w:tcW w:w="1843" w:type="dxa"/>
            <w:shd w:val="clear" w:color="auto" w:fill="auto"/>
            <w:hideMark/>
          </w:tcPr>
          <w:p w14:paraId="478CDFFB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02796B57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39</w:t>
            </w:r>
          </w:p>
        </w:tc>
        <w:tc>
          <w:tcPr>
            <w:tcW w:w="2268" w:type="dxa"/>
            <w:shd w:val="clear" w:color="auto" w:fill="auto"/>
            <w:hideMark/>
          </w:tcPr>
          <w:p w14:paraId="0717A334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9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6E04EA6B" w14:textId="77777777" w:rsidTr="00977F00">
        <w:trPr>
          <w:trHeight w:val="407"/>
        </w:trPr>
        <w:tc>
          <w:tcPr>
            <w:tcW w:w="2972" w:type="dxa"/>
            <w:shd w:val="clear" w:color="auto" w:fill="00B0F0"/>
            <w:hideMark/>
          </w:tcPr>
          <w:p w14:paraId="1E65FCF9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Spesialistfunksjon</w:t>
            </w:r>
          </w:p>
        </w:tc>
        <w:tc>
          <w:tcPr>
            <w:tcW w:w="1843" w:type="dxa"/>
            <w:shd w:val="clear" w:color="auto" w:fill="auto"/>
            <w:hideMark/>
          </w:tcPr>
          <w:p w14:paraId="49A68F98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65</w:t>
            </w:r>
          </w:p>
        </w:tc>
        <w:tc>
          <w:tcPr>
            <w:tcW w:w="1984" w:type="dxa"/>
            <w:shd w:val="clear" w:color="auto" w:fill="auto"/>
            <w:hideMark/>
          </w:tcPr>
          <w:p w14:paraId="15DFA615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70</w:t>
            </w:r>
          </w:p>
        </w:tc>
        <w:tc>
          <w:tcPr>
            <w:tcW w:w="2268" w:type="dxa"/>
            <w:shd w:val="clear" w:color="auto" w:fill="auto"/>
            <w:hideMark/>
          </w:tcPr>
          <w:p w14:paraId="3FF325FB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48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1FC027F9" w14:textId="77777777" w:rsidTr="00977F00">
        <w:trPr>
          <w:trHeight w:val="300"/>
        </w:trPr>
        <w:tc>
          <w:tcPr>
            <w:tcW w:w="2972" w:type="dxa"/>
            <w:shd w:val="clear" w:color="auto" w:fill="00B0F0"/>
            <w:hideMark/>
          </w:tcPr>
          <w:p w14:paraId="4DA1FBB6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Funksjonær</w:t>
            </w:r>
          </w:p>
        </w:tc>
        <w:tc>
          <w:tcPr>
            <w:tcW w:w="1843" w:type="dxa"/>
            <w:shd w:val="clear" w:color="auto" w:fill="auto"/>
            <w:hideMark/>
          </w:tcPr>
          <w:p w14:paraId="5A42643C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106</w:t>
            </w:r>
          </w:p>
        </w:tc>
        <w:tc>
          <w:tcPr>
            <w:tcW w:w="1984" w:type="dxa"/>
            <w:shd w:val="clear" w:color="auto" w:fill="auto"/>
            <w:hideMark/>
          </w:tcPr>
          <w:p w14:paraId="400C39F3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150</w:t>
            </w:r>
          </w:p>
        </w:tc>
        <w:tc>
          <w:tcPr>
            <w:tcW w:w="2268" w:type="dxa"/>
            <w:shd w:val="clear" w:color="auto" w:fill="auto"/>
            <w:hideMark/>
          </w:tcPr>
          <w:p w14:paraId="3017E530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49991317" w14:textId="77777777" w:rsidTr="00977F00">
        <w:trPr>
          <w:trHeight w:val="300"/>
        </w:trPr>
        <w:tc>
          <w:tcPr>
            <w:tcW w:w="2972" w:type="dxa"/>
            <w:shd w:val="clear" w:color="auto" w:fill="00B0F0"/>
            <w:hideMark/>
          </w:tcPr>
          <w:p w14:paraId="29CA4484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Salg/marked</w:t>
            </w:r>
          </w:p>
        </w:tc>
        <w:tc>
          <w:tcPr>
            <w:tcW w:w="1843" w:type="dxa"/>
            <w:shd w:val="clear" w:color="auto" w:fill="auto"/>
            <w:hideMark/>
          </w:tcPr>
          <w:p w14:paraId="4FB33340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5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28C1FA0A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86</w:t>
            </w:r>
          </w:p>
        </w:tc>
        <w:tc>
          <w:tcPr>
            <w:tcW w:w="2268" w:type="dxa"/>
            <w:shd w:val="clear" w:color="auto" w:fill="auto"/>
            <w:hideMark/>
          </w:tcPr>
          <w:p w14:paraId="34A218AA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39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6780304B" w14:textId="77777777" w:rsidTr="00977F00">
        <w:trPr>
          <w:trHeight w:val="300"/>
        </w:trPr>
        <w:tc>
          <w:tcPr>
            <w:tcW w:w="2972" w:type="dxa"/>
            <w:shd w:val="clear" w:color="auto" w:fill="00B0F0"/>
            <w:hideMark/>
          </w:tcPr>
          <w:p w14:paraId="107E3153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Operativ</w:t>
            </w:r>
          </w:p>
        </w:tc>
        <w:tc>
          <w:tcPr>
            <w:tcW w:w="1843" w:type="dxa"/>
            <w:shd w:val="clear" w:color="auto" w:fill="auto"/>
            <w:hideMark/>
          </w:tcPr>
          <w:p w14:paraId="5436FA11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1984" w:type="dxa"/>
            <w:shd w:val="clear" w:color="auto" w:fill="auto"/>
            <w:hideMark/>
          </w:tcPr>
          <w:p w14:paraId="5C2451DD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1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094</w:t>
            </w:r>
          </w:p>
        </w:tc>
        <w:tc>
          <w:tcPr>
            <w:tcW w:w="2268" w:type="dxa"/>
            <w:shd w:val="clear" w:color="auto" w:fill="auto"/>
            <w:hideMark/>
          </w:tcPr>
          <w:p w14:paraId="78657681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4 %</w:t>
            </w:r>
          </w:p>
        </w:tc>
      </w:tr>
      <w:tr w:rsidR="001B6736" w:rsidRPr="00122C96" w14:paraId="7193BAF1" w14:textId="77777777" w:rsidTr="00977F00">
        <w:trPr>
          <w:trHeight w:val="300"/>
        </w:trPr>
        <w:tc>
          <w:tcPr>
            <w:tcW w:w="2972" w:type="dxa"/>
            <w:shd w:val="clear" w:color="auto" w:fill="00B0F0"/>
            <w:hideMark/>
          </w:tcPr>
          <w:p w14:paraId="3BC989C8" w14:textId="77777777" w:rsidR="001B6736" w:rsidRPr="004D38CF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4D38C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Konsernledelse</w:t>
            </w:r>
          </w:p>
        </w:tc>
        <w:tc>
          <w:tcPr>
            <w:tcW w:w="1843" w:type="dxa"/>
            <w:shd w:val="clear" w:color="auto" w:fill="auto"/>
            <w:hideMark/>
          </w:tcPr>
          <w:p w14:paraId="3DB7A402" w14:textId="0B6BAA4A" w:rsidR="001B6736" w:rsidRPr="00122C96" w:rsidRDefault="001B7479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14:paraId="491BBF36" w14:textId="77777777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14:paraId="48835654" w14:textId="645598E4" w:rsidR="001B6736" w:rsidRPr="00122C96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2</w:t>
            </w:r>
            <w:r w:rsidR="00364E23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0</w:t>
            </w: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  <w:tr w:rsidR="001B6736" w:rsidRPr="00122C96" w14:paraId="1DADBBF1" w14:textId="77777777" w:rsidTr="00977F00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B779501" w14:textId="219F7D69" w:rsidR="001B6736" w:rsidRPr="009063B9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9063B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Total</w:t>
            </w:r>
            <w:r w:rsidR="000538E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 xml:space="preserve"> alle kategorier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1F1B" w14:textId="77777777" w:rsidR="001B6736" w:rsidRPr="009063B9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1D30" w14:textId="77777777" w:rsidR="001B6736" w:rsidRPr="009063B9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1543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6DC3" w14:textId="77777777" w:rsidR="001B6736" w:rsidRPr="009063B9" w:rsidRDefault="001B6736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9063B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7</w:t>
            </w:r>
            <w:r w:rsidRPr="009063B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 xml:space="preserve"> %</w:t>
            </w:r>
          </w:p>
        </w:tc>
      </w:tr>
    </w:tbl>
    <w:p w14:paraId="71F7926F" w14:textId="2A46EA41" w:rsidR="00F05F11" w:rsidRDefault="001B6736" w:rsidP="00F864A1">
      <w:pPr>
        <w:ind w:left="720"/>
        <w:jc w:val="both"/>
        <w:rPr>
          <w:i/>
          <w:iCs/>
          <w:sz w:val="20"/>
        </w:rPr>
      </w:pPr>
      <w:r w:rsidRPr="000A710A">
        <w:rPr>
          <w:i/>
          <w:iCs/>
          <w:sz w:val="20"/>
        </w:rPr>
        <w:t xml:space="preserve">Tabell 2 - Kjønnsfordeling på ulike stillingskategorier i NG Group </w:t>
      </w:r>
      <w:r w:rsidR="00255B1B" w:rsidRPr="000A710A">
        <w:rPr>
          <w:i/>
          <w:iCs/>
          <w:sz w:val="20"/>
        </w:rPr>
        <w:t>i Norge</w:t>
      </w:r>
    </w:p>
    <w:p w14:paraId="6A13C386" w14:textId="77777777" w:rsidR="005E3E33" w:rsidRPr="005E3E33" w:rsidRDefault="005E3E33" w:rsidP="00F864A1">
      <w:pPr>
        <w:ind w:left="720"/>
        <w:jc w:val="both"/>
        <w:rPr>
          <w:i/>
          <w:iCs/>
          <w:sz w:val="20"/>
        </w:rPr>
      </w:pPr>
    </w:p>
    <w:p w14:paraId="4C944B2F" w14:textId="6D5C4EF4" w:rsidR="00C81E32" w:rsidRDefault="0099318A" w:rsidP="00F864A1">
      <w:pPr>
        <w:pStyle w:val="Overskrift3"/>
        <w:jc w:val="both"/>
      </w:pPr>
      <w:r w:rsidRPr="00DE7968">
        <w:t>L</w:t>
      </w:r>
      <w:r w:rsidR="00EC62C0" w:rsidRPr="00DE7968">
        <w:t>ønn</w:t>
      </w:r>
      <w:r w:rsidR="0053664C">
        <w:t xml:space="preserve">, </w:t>
      </w:r>
      <w:r w:rsidR="006E56CD">
        <w:t>b</w:t>
      </w:r>
      <w:r w:rsidR="0053664C">
        <w:t>onus</w:t>
      </w:r>
      <w:r w:rsidR="006E56CD">
        <w:t>, og ytelser</w:t>
      </w:r>
      <w:r w:rsidR="002B3289">
        <w:t xml:space="preserve"> </w:t>
      </w:r>
      <w:r w:rsidR="006E56CD">
        <w:t>samt</w:t>
      </w:r>
      <w:r w:rsidR="00B8297A">
        <w:t xml:space="preserve"> </w:t>
      </w:r>
      <w:r w:rsidR="006E56CD">
        <w:t>variasjoner</w:t>
      </w:r>
      <w:r w:rsidR="005372B0">
        <w:t xml:space="preserve"> mellom kjønnene</w:t>
      </w:r>
    </w:p>
    <w:p w14:paraId="28FB8D3C" w14:textId="533B0165" w:rsidR="00D93BD9" w:rsidRDefault="00F70AFB" w:rsidP="00F864A1">
      <w:pPr>
        <w:tabs>
          <w:tab w:val="left" w:pos="709"/>
        </w:tabs>
        <w:contextualSpacing/>
        <w:jc w:val="both"/>
        <w:rPr>
          <w:color w:val="auto"/>
        </w:rPr>
      </w:pPr>
      <w:r w:rsidRPr="3EF605AE">
        <w:rPr>
          <w:color w:val="auto"/>
        </w:rPr>
        <w:t xml:space="preserve">Lønnsforskjeller i NG-konsernet </w:t>
      </w:r>
      <w:r w:rsidR="007E3981" w:rsidRPr="3EF605AE">
        <w:rPr>
          <w:color w:val="auto"/>
        </w:rPr>
        <w:t xml:space="preserve">i Norge </w:t>
      </w:r>
      <w:r w:rsidRPr="3EF605AE">
        <w:rPr>
          <w:color w:val="auto"/>
        </w:rPr>
        <w:t>er kartlagt for alle stillings</w:t>
      </w:r>
      <w:r w:rsidR="00791017" w:rsidRPr="3EF605AE">
        <w:rPr>
          <w:color w:val="auto"/>
        </w:rPr>
        <w:t>grupper</w:t>
      </w:r>
      <w:r w:rsidRPr="3EF605AE">
        <w:rPr>
          <w:color w:val="auto"/>
        </w:rPr>
        <w:t xml:space="preserve"> </w:t>
      </w:r>
      <w:r w:rsidR="00D93BD9" w:rsidRPr="3EF605AE">
        <w:rPr>
          <w:color w:val="auto"/>
        </w:rPr>
        <w:t>for 202</w:t>
      </w:r>
      <w:r w:rsidR="001B6736" w:rsidRPr="3EF605AE">
        <w:rPr>
          <w:color w:val="auto"/>
        </w:rPr>
        <w:t>3</w:t>
      </w:r>
      <w:r w:rsidR="00D93BD9" w:rsidRPr="3EF605AE">
        <w:rPr>
          <w:color w:val="auto"/>
        </w:rPr>
        <w:t xml:space="preserve">. Kartleggingen har </w:t>
      </w:r>
      <w:r w:rsidR="0037372C" w:rsidRPr="3EF605AE">
        <w:rPr>
          <w:color w:val="auto"/>
        </w:rPr>
        <w:t>tatt</w:t>
      </w:r>
      <w:r w:rsidR="00791017" w:rsidRPr="3EF605AE">
        <w:rPr>
          <w:color w:val="auto"/>
        </w:rPr>
        <w:t xml:space="preserve"> utgangspunktet i følgende </w:t>
      </w:r>
      <w:r w:rsidRPr="3EF605AE">
        <w:rPr>
          <w:color w:val="auto"/>
        </w:rPr>
        <w:t xml:space="preserve">lønnsarter; </w:t>
      </w:r>
    </w:p>
    <w:p w14:paraId="73A9F0BE" w14:textId="77777777" w:rsidR="008A670C" w:rsidRPr="00D93BD9" w:rsidRDefault="008A670C" w:rsidP="008A670C">
      <w:pPr>
        <w:pStyle w:val="Listeavsnitt"/>
        <w:numPr>
          <w:ilvl w:val="0"/>
          <w:numId w:val="28"/>
        </w:numPr>
        <w:tabs>
          <w:tab w:val="left" w:pos="709"/>
        </w:tabs>
        <w:jc w:val="both"/>
        <w:rPr>
          <w:color w:val="auto"/>
        </w:rPr>
      </w:pPr>
      <w:r>
        <w:rPr>
          <w:color w:val="auto"/>
          <w:szCs w:val="24"/>
        </w:rPr>
        <w:t>Totalkompensasjon</w:t>
      </w:r>
    </w:p>
    <w:p w14:paraId="0032807B" w14:textId="77C31639" w:rsidR="00D93BD9" w:rsidRPr="00D93BD9" w:rsidRDefault="008A670C" w:rsidP="00F864A1">
      <w:pPr>
        <w:pStyle w:val="Listeavsnitt"/>
        <w:numPr>
          <w:ilvl w:val="0"/>
          <w:numId w:val="28"/>
        </w:numPr>
        <w:tabs>
          <w:tab w:val="left" w:pos="709"/>
        </w:tabs>
        <w:jc w:val="both"/>
        <w:rPr>
          <w:color w:val="auto"/>
        </w:rPr>
      </w:pPr>
      <w:r>
        <w:rPr>
          <w:color w:val="auto"/>
          <w:szCs w:val="24"/>
        </w:rPr>
        <w:t>F</w:t>
      </w:r>
      <w:r w:rsidR="00F70AFB" w:rsidRPr="00D93BD9">
        <w:rPr>
          <w:color w:val="auto"/>
          <w:szCs w:val="24"/>
        </w:rPr>
        <w:t>astlønn</w:t>
      </w:r>
    </w:p>
    <w:p w14:paraId="5B23F316" w14:textId="63244DCE" w:rsidR="00D93BD9" w:rsidRPr="008A670C" w:rsidRDefault="00182D46" w:rsidP="00F864A1">
      <w:pPr>
        <w:pStyle w:val="Listeavsnitt"/>
        <w:numPr>
          <w:ilvl w:val="0"/>
          <w:numId w:val="28"/>
        </w:numPr>
        <w:tabs>
          <w:tab w:val="left" w:pos="709"/>
        </w:tabs>
        <w:jc w:val="both"/>
        <w:rPr>
          <w:color w:val="auto"/>
        </w:rPr>
      </w:pPr>
      <w:r>
        <w:rPr>
          <w:color w:val="auto"/>
          <w:szCs w:val="24"/>
        </w:rPr>
        <w:t>B</w:t>
      </w:r>
      <w:r w:rsidR="00F70AFB" w:rsidRPr="00D93BD9">
        <w:rPr>
          <w:color w:val="auto"/>
          <w:szCs w:val="24"/>
        </w:rPr>
        <w:t>onus</w:t>
      </w:r>
    </w:p>
    <w:p w14:paraId="2585886F" w14:textId="0A5ED816" w:rsidR="00694986" w:rsidRDefault="00E51388" w:rsidP="00F864A1">
      <w:pPr>
        <w:jc w:val="both"/>
      </w:pPr>
      <w:r>
        <w:t xml:space="preserve">Av alle de </w:t>
      </w:r>
      <w:r w:rsidRPr="3EF605AE">
        <w:rPr>
          <w:color w:val="auto"/>
        </w:rPr>
        <w:t>1849 medarbeiderne i kartleggingen</w:t>
      </w:r>
      <w:r>
        <w:t xml:space="preserve"> er mer enn halvparten menn i kategorien «Operativ». Menn i kategorien «Operativ», har lavere lønn enn menn i andre stillingskategorier. Når snittlønn for alle mannlige ansatte i konsernet beregnes samlet, trekker den store andelen menn i kategorien «Operativ» gjennomsnittet ned. For kvinner er situasjonen motsatt; det er relativt få kvinnelig</w:t>
      </w:r>
      <w:r w:rsidR="006E56CD">
        <w:t>e</w:t>
      </w:r>
      <w:r>
        <w:t xml:space="preserve"> ansatte i konsernet totalt</w:t>
      </w:r>
      <w:r w:rsidR="006E56CD">
        <w:t>,</w:t>
      </w:r>
      <w:r>
        <w:t xml:space="preserve"> og av disse er kun 4 prosent ansatt i stillingskategorien «Operativ». Det vil si at en større andel kvinner i konsernet er ansatt i kategorier med høyere gjennomsnittslønn. Snittlønnen for kvinner trekkes derfor opp når gjennomsnittlig årslønn for alle kvinnelige ansatte beregnes under ett. </w:t>
      </w:r>
    </w:p>
    <w:p w14:paraId="3CDF1933" w14:textId="0AAF93FD" w:rsidR="00E51388" w:rsidRDefault="006E56CD" w:rsidP="00F864A1">
      <w:pPr>
        <w:jc w:val="both"/>
      </w:pPr>
      <w:r>
        <w:t xml:space="preserve">På grunn av ansattsammensetningen beskrevet i avsnittet over får </w:t>
      </w:r>
      <w:r w:rsidR="00656E83">
        <w:t xml:space="preserve">vi </w:t>
      </w:r>
      <w:r>
        <w:t>derfor følgende sammenheng</w:t>
      </w:r>
      <w:r w:rsidR="00AF0045">
        <w:t>;</w:t>
      </w:r>
      <w:r>
        <w:t xml:space="preserve"> T</w:t>
      </w:r>
      <w:r w:rsidR="00E51388">
        <w:t xml:space="preserve">il tross for at kvinner ligger lavere </w:t>
      </w:r>
      <w:r>
        <w:t xml:space="preserve">i lønn </w:t>
      </w:r>
      <w:r w:rsidR="00E51388">
        <w:t xml:space="preserve">enn menn på de fleste stillingskategorier viser kartleggingen for totalt antall ansatte i hele NG Group Norge </w:t>
      </w:r>
      <w:r w:rsidR="00FA15C3">
        <w:t>AS at</w:t>
      </w:r>
      <w:r w:rsidR="00E51388">
        <w:t xml:space="preserve"> en kvinne har en gjennomsnittslønn som er 15 prosent høyere enn en manns. </w:t>
      </w:r>
      <w:r>
        <w:t>F</w:t>
      </w:r>
      <w:r w:rsidR="00E51388">
        <w:t xml:space="preserve">or total kompensasjon er lønnsforskjellen totalt noe mindre; en kvinne i konsernet har i snitt 10 prosent høyere total kompensasjon enn en mann.  </w:t>
      </w:r>
    </w:p>
    <w:p w14:paraId="55D68042" w14:textId="77777777" w:rsidR="00E51388" w:rsidRDefault="00E51388" w:rsidP="00F864A1">
      <w:pPr>
        <w:tabs>
          <w:tab w:val="left" w:pos="709"/>
        </w:tabs>
        <w:contextualSpacing/>
        <w:jc w:val="both"/>
        <w:rPr>
          <w:color w:val="auto"/>
        </w:rPr>
      </w:pPr>
    </w:p>
    <w:p w14:paraId="21034FCD" w14:textId="340376F0" w:rsidR="00E51388" w:rsidRDefault="00E51388" w:rsidP="00F864A1">
      <w:pPr>
        <w:spacing w:before="0"/>
        <w:contextualSpacing/>
        <w:jc w:val="both"/>
      </w:pPr>
      <w:r>
        <w:rPr>
          <w:color w:val="auto"/>
        </w:rPr>
        <w:t>Pr 31.12.2023 var 3 kvinner</w:t>
      </w:r>
      <w:r w:rsidRPr="00E54A27">
        <w:rPr>
          <w:color w:val="auto"/>
        </w:rPr>
        <w:t xml:space="preserve"> representert i konsernets styre</w:t>
      </w:r>
      <w:r w:rsidR="006E56CD">
        <w:rPr>
          <w:color w:val="auto"/>
        </w:rPr>
        <w:t>. E</w:t>
      </w:r>
      <w:r w:rsidRPr="00E54A27">
        <w:rPr>
          <w:color w:val="auto"/>
        </w:rPr>
        <w:t>n kvi</w:t>
      </w:r>
      <w:r>
        <w:rPr>
          <w:color w:val="auto"/>
        </w:rPr>
        <w:t>nne tiltrådte</w:t>
      </w:r>
      <w:r w:rsidRPr="00E54A27">
        <w:rPr>
          <w:color w:val="auto"/>
        </w:rPr>
        <w:t xml:space="preserve"> konsernets ledergruppe</w:t>
      </w:r>
      <w:r>
        <w:rPr>
          <w:color w:val="auto"/>
        </w:rPr>
        <w:t xml:space="preserve"> pr </w:t>
      </w:r>
      <w:r w:rsidR="006E56CD">
        <w:rPr>
          <w:color w:val="auto"/>
        </w:rPr>
        <w:t>31</w:t>
      </w:r>
      <w:r>
        <w:rPr>
          <w:color w:val="auto"/>
        </w:rPr>
        <w:t>.</w:t>
      </w:r>
      <w:r w:rsidR="006E56CD">
        <w:rPr>
          <w:color w:val="auto"/>
        </w:rPr>
        <w:t>12</w:t>
      </w:r>
      <w:r>
        <w:rPr>
          <w:color w:val="auto"/>
        </w:rPr>
        <w:t>.2023</w:t>
      </w:r>
      <w:r w:rsidRPr="00E54A27">
        <w:rPr>
          <w:color w:val="auto"/>
        </w:rPr>
        <w:t xml:space="preserve">. </w:t>
      </w:r>
      <w:r>
        <w:rPr>
          <w:color w:val="auto"/>
        </w:rPr>
        <w:t>Konsernledelsen består d</w:t>
      </w:r>
      <w:r w:rsidR="006E56CD">
        <w:rPr>
          <w:color w:val="auto"/>
        </w:rPr>
        <w:t>erfor</w:t>
      </w:r>
      <w:r>
        <w:rPr>
          <w:color w:val="auto"/>
        </w:rPr>
        <w:t xml:space="preserve"> av syv menn og en kvinne gjennom 2023. I begynnelsen av 2024 ble det ansatt 2 nye kvinner i konsernledelsen. </w:t>
      </w:r>
      <w:r>
        <w:t xml:space="preserve">Da det var kun 1 kvinne </w:t>
      </w:r>
      <w:r w:rsidR="00FA15C3">
        <w:t>i konsernledelsen</w:t>
      </w:r>
      <w:r>
        <w:t xml:space="preserve"> per 31.12.2023 er det dermed ikke redegjort for lønn basert på kjønn i denne stillingskategorien.</w:t>
      </w:r>
    </w:p>
    <w:p w14:paraId="15B64242" w14:textId="77777777" w:rsidR="00725967" w:rsidRDefault="00725967" w:rsidP="00F864A1">
      <w:pPr>
        <w:spacing w:before="0"/>
        <w:contextualSpacing/>
        <w:jc w:val="both"/>
      </w:pPr>
    </w:p>
    <w:p w14:paraId="5F98308A" w14:textId="4E3B751F" w:rsidR="00EF4084" w:rsidRDefault="00725967" w:rsidP="00F864A1">
      <w:pPr>
        <w:spacing w:before="0"/>
        <w:contextualSpacing/>
        <w:jc w:val="both"/>
        <w:rPr>
          <w:color w:val="auto"/>
        </w:rPr>
      </w:pPr>
      <w:r w:rsidRPr="3EF605AE">
        <w:rPr>
          <w:color w:val="auto"/>
        </w:rPr>
        <w:t xml:space="preserve">Kartleggingen NG Group har gjort av bonuser viser at utbetaling av bonus praktiseres ulikt i de ulike selskapene i </w:t>
      </w:r>
      <w:r w:rsidR="00EF4084">
        <w:rPr>
          <w:color w:val="auto"/>
        </w:rPr>
        <w:t>gruppen</w:t>
      </w:r>
      <w:r w:rsidRPr="3EF605AE">
        <w:rPr>
          <w:color w:val="auto"/>
        </w:rPr>
        <w:t xml:space="preserve">. Det er 34 prosent av alle menn og 30 prosent av alle kvinner som har mottatt bonuser i 2023, men det er ikke kartlagt hvor mange som i utgangspunktet er bonusberettiget. </w:t>
      </w:r>
    </w:p>
    <w:p w14:paraId="3F360D60" w14:textId="77777777" w:rsidR="00EF4084" w:rsidRDefault="00EF4084" w:rsidP="00F864A1">
      <w:pPr>
        <w:spacing w:before="0"/>
        <w:contextualSpacing/>
        <w:jc w:val="both"/>
        <w:rPr>
          <w:color w:val="auto"/>
        </w:rPr>
      </w:pPr>
    </w:p>
    <w:p w14:paraId="60DC6DB8" w14:textId="1CBE63D8" w:rsidR="00725967" w:rsidRPr="00444145" w:rsidRDefault="00725967" w:rsidP="00F864A1">
      <w:pPr>
        <w:spacing w:before="0"/>
        <w:contextualSpacing/>
        <w:jc w:val="both"/>
        <w:rPr>
          <w:color w:val="auto"/>
        </w:rPr>
      </w:pPr>
      <w:r>
        <w:rPr>
          <w:color w:val="auto"/>
        </w:rPr>
        <w:t xml:space="preserve">Det er et ønske fra konsernet å være transparent </w:t>
      </w:r>
      <w:r w:rsidR="00FA15C3">
        <w:rPr>
          <w:color w:val="auto"/>
        </w:rPr>
        <w:t>når det gjelder</w:t>
      </w:r>
      <w:r>
        <w:rPr>
          <w:color w:val="auto"/>
        </w:rPr>
        <w:t xml:space="preserve"> bonuser til de ansatte. På grunn av ansattkomposisjonen med en betydelig andel mannlige operatører er det krevende og antagelig ikke verdiøkende å bruke gjennomsnitt basert på alle ansatte for å vise et bilde som gjenspeiler sammenhenger i de reelle bonusutbetalingene.  </w:t>
      </w:r>
      <w:r>
        <w:t xml:space="preserve">På samme måte som gjennomsnittsberegningen for fastlønn viser </w:t>
      </w:r>
      <w:r w:rsidR="006E56CD">
        <w:t xml:space="preserve">også </w:t>
      </w:r>
      <w:r>
        <w:t xml:space="preserve">beregningen av gjennomsnittlig utbetalt bonus for totalt antall ansatte i NG Group Norge at kvinner i </w:t>
      </w:r>
      <w:r w:rsidR="00FA15C3">
        <w:t>snitt har</w:t>
      </w:r>
      <w:r>
        <w:t xml:space="preserve"> fått utbetalt en marginalt høyere bonus enn menn i 2023. Dette til tross for at kvinner har lavere bonus enn menn</w:t>
      </w:r>
      <w:r w:rsidRPr="009B5855">
        <w:t xml:space="preserve"> </w:t>
      </w:r>
      <w:r>
        <w:t xml:space="preserve">i hver enkelt stillingskategori. Årsaken er som nevnt at det er store forskjeller i </w:t>
      </w:r>
      <w:r w:rsidR="006E56CD">
        <w:t xml:space="preserve">ansattpopulasjonen per </w:t>
      </w:r>
      <w:r>
        <w:t>kjønn, hvilke typer stillingskategori de er ansatt i</w:t>
      </w:r>
      <w:r w:rsidR="006E56CD">
        <w:t>,</w:t>
      </w:r>
      <w:r>
        <w:t xml:space="preserve"> og antall i hver kategori som har fått bonus utbetalt. </w:t>
      </w:r>
    </w:p>
    <w:p w14:paraId="5C7689B2" w14:textId="6BBEEAB8" w:rsidR="00D47291" w:rsidRDefault="00725967" w:rsidP="00D47291">
      <w:pPr>
        <w:jc w:val="both"/>
      </w:pPr>
      <w:r>
        <w:t>For å gi et noe mer r</w:t>
      </w:r>
      <w:r w:rsidR="006E56CD">
        <w:t>iktig</w:t>
      </w:r>
      <w:r>
        <w:t xml:space="preserve"> bilde er derfor bonus også sett på i forhold til antall medarbeidere som faktisk har fått utbetalt bonus. A</w:t>
      </w:r>
      <w:r w:rsidRPr="00A413F3">
        <w:t>v de 5</w:t>
      </w:r>
      <w:r>
        <w:t>11</w:t>
      </w:r>
      <w:r w:rsidRPr="00A413F3">
        <w:t xml:space="preserve"> menn som har </w:t>
      </w:r>
      <w:r>
        <w:t xml:space="preserve">fått utbetalt </w:t>
      </w:r>
      <w:r w:rsidRPr="00A413F3">
        <w:t xml:space="preserve">bonus </w:t>
      </w:r>
      <w:r>
        <w:t xml:space="preserve">(som tilsvarer 30 prosent av alle menn) </w:t>
      </w:r>
      <w:r w:rsidRPr="00A413F3">
        <w:t>er 2</w:t>
      </w:r>
      <w:r>
        <w:t>97</w:t>
      </w:r>
      <w:r w:rsidRPr="00A413F3">
        <w:t xml:space="preserve"> </w:t>
      </w:r>
      <w:r>
        <w:t xml:space="preserve">ansatt </w:t>
      </w:r>
      <w:r w:rsidRPr="00A413F3">
        <w:t xml:space="preserve">i </w:t>
      </w:r>
      <w:r>
        <w:t>stillings</w:t>
      </w:r>
      <w:r w:rsidRPr="00A413F3">
        <w:t xml:space="preserve">kategorien </w:t>
      </w:r>
      <w:r>
        <w:t>«O</w:t>
      </w:r>
      <w:r w:rsidRPr="00A413F3">
        <w:t>perativ</w:t>
      </w:r>
      <w:r>
        <w:t>». D</w:t>
      </w:r>
      <w:r w:rsidRPr="00A413F3">
        <w:t>er</w:t>
      </w:r>
      <w:r>
        <w:t xml:space="preserve"> er</w:t>
      </w:r>
      <w:r w:rsidRPr="00A413F3">
        <w:t xml:space="preserve"> bonus</w:t>
      </w:r>
      <w:r>
        <w:t>ene</w:t>
      </w:r>
      <w:r w:rsidRPr="00A413F3">
        <w:t xml:space="preserve"> </w:t>
      </w:r>
      <w:r>
        <w:t xml:space="preserve">lave i forhold til de andre stillingskategoriene. Av de 87 kvinnene som har bonus (34 prosent av alle kvinner) er det derimot svært få kvinner som har fått ubetalt bonus (10) i kategorien «Operativ». De fleste kvinner som har fått utbetalt bonus tilhører stillingsgrupper med forholdsvis høyere fastlønn og dermed høyere bonuser, noe som trekker snittet opp for </w:t>
      </w:r>
      <w:r w:rsidR="006E56CD">
        <w:t>k</w:t>
      </w:r>
      <w:r w:rsidR="00AF7DC3">
        <w:t>vinner.</w:t>
      </w:r>
      <w:r w:rsidR="00D47291">
        <w:t xml:space="preserve"> Bonusbeløpet kalkuleres basert på en fastsatt individuell %-faktor av fastlønn.</w:t>
      </w:r>
    </w:p>
    <w:p w14:paraId="19488FA2" w14:textId="4A8D52FF" w:rsidR="00725967" w:rsidRDefault="00725967" w:rsidP="00F864A1">
      <w:pPr>
        <w:jc w:val="both"/>
      </w:pPr>
    </w:p>
    <w:p w14:paraId="55458CAB" w14:textId="77777777" w:rsidR="00725967" w:rsidRDefault="00725967" w:rsidP="00F864A1">
      <w:pPr>
        <w:spacing w:before="0"/>
        <w:contextualSpacing/>
        <w:jc w:val="both"/>
        <w:rPr>
          <w:color w:val="auto"/>
        </w:rPr>
      </w:pPr>
    </w:p>
    <w:p w14:paraId="3B419ECF" w14:textId="77777777" w:rsidR="005E3E33" w:rsidRDefault="005E3E33" w:rsidP="00F864A1">
      <w:pPr>
        <w:spacing w:before="0" w:after="120" w:line="312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374E7646" w14:textId="5F7650E0" w:rsidR="009D4B70" w:rsidRDefault="009D4B70" w:rsidP="00F864A1">
      <w:pPr>
        <w:spacing w:before="0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Tabell</w:t>
      </w:r>
      <w:r w:rsidR="0095463E">
        <w:rPr>
          <w:color w:val="auto"/>
          <w:szCs w:val="24"/>
        </w:rPr>
        <w:t xml:space="preserve"> </w:t>
      </w:r>
      <w:r w:rsidR="00AB53F1">
        <w:rPr>
          <w:color w:val="auto"/>
          <w:szCs w:val="24"/>
        </w:rPr>
        <w:t>3</w:t>
      </w:r>
      <w:r>
        <w:rPr>
          <w:color w:val="auto"/>
          <w:szCs w:val="24"/>
        </w:rPr>
        <w:t xml:space="preserve"> nedenfor viser </w:t>
      </w:r>
      <w:r w:rsidR="00186E60">
        <w:rPr>
          <w:color w:val="auto"/>
          <w:szCs w:val="24"/>
        </w:rPr>
        <w:t xml:space="preserve">hvor </w:t>
      </w:r>
      <w:r w:rsidR="008C4971">
        <w:rPr>
          <w:color w:val="auto"/>
          <w:szCs w:val="24"/>
        </w:rPr>
        <w:t>mye</w:t>
      </w:r>
      <w:r w:rsidR="000E7406">
        <w:rPr>
          <w:color w:val="auto"/>
          <w:szCs w:val="24"/>
        </w:rPr>
        <w:t xml:space="preserve"> mer/mindre en</w:t>
      </w:r>
      <w:r w:rsidR="008C4971">
        <w:rPr>
          <w:color w:val="auto"/>
          <w:szCs w:val="24"/>
        </w:rPr>
        <w:t xml:space="preserve"> kvinne i gjennomsnitt tjener en</w:t>
      </w:r>
      <w:r w:rsidR="000E7406">
        <w:rPr>
          <w:color w:val="auto"/>
          <w:szCs w:val="24"/>
        </w:rPr>
        <w:t xml:space="preserve">n </w:t>
      </w:r>
      <w:r w:rsidR="00E27B5F">
        <w:rPr>
          <w:color w:val="auto"/>
          <w:szCs w:val="24"/>
        </w:rPr>
        <w:t>en mann</w:t>
      </w:r>
      <w:r w:rsidR="008C4971">
        <w:rPr>
          <w:color w:val="auto"/>
          <w:szCs w:val="24"/>
        </w:rPr>
        <w:t xml:space="preserve">. </w:t>
      </w:r>
      <w:r w:rsidR="00157605">
        <w:rPr>
          <w:color w:val="auto"/>
          <w:szCs w:val="24"/>
        </w:rPr>
        <w:t xml:space="preserve">Lønnsforskjellene er </w:t>
      </w:r>
      <w:r w:rsidR="00CF4851">
        <w:rPr>
          <w:color w:val="auto"/>
          <w:szCs w:val="24"/>
        </w:rPr>
        <w:t xml:space="preserve">oppgitt </w:t>
      </w:r>
      <w:r w:rsidR="00880E03">
        <w:rPr>
          <w:color w:val="auto"/>
          <w:szCs w:val="24"/>
        </w:rPr>
        <w:t>per stillingskate</w:t>
      </w:r>
      <w:r w:rsidR="00297D11">
        <w:rPr>
          <w:color w:val="auto"/>
          <w:szCs w:val="24"/>
        </w:rPr>
        <w:t>g</w:t>
      </w:r>
      <w:r w:rsidR="00880E03">
        <w:rPr>
          <w:color w:val="auto"/>
          <w:szCs w:val="24"/>
        </w:rPr>
        <w:t xml:space="preserve">ori, </w:t>
      </w:r>
      <w:r w:rsidR="00297D11">
        <w:rPr>
          <w:color w:val="auto"/>
          <w:szCs w:val="24"/>
        </w:rPr>
        <w:t xml:space="preserve">og basert på </w:t>
      </w:r>
      <w:r w:rsidR="00157605">
        <w:rPr>
          <w:color w:val="auto"/>
          <w:szCs w:val="24"/>
        </w:rPr>
        <w:t>antall</w:t>
      </w:r>
      <w:r w:rsidR="00297D11">
        <w:rPr>
          <w:color w:val="auto"/>
          <w:szCs w:val="24"/>
        </w:rPr>
        <w:t xml:space="preserve"> ansatte </w:t>
      </w:r>
      <w:r w:rsidR="00914C96">
        <w:rPr>
          <w:color w:val="auto"/>
          <w:szCs w:val="24"/>
        </w:rPr>
        <w:t xml:space="preserve">per kjønn </w:t>
      </w:r>
      <w:r w:rsidR="00297D11">
        <w:rPr>
          <w:color w:val="auto"/>
          <w:szCs w:val="24"/>
        </w:rPr>
        <w:t xml:space="preserve">i hver enkelt </w:t>
      </w:r>
      <w:r w:rsidR="00157605">
        <w:rPr>
          <w:color w:val="auto"/>
          <w:szCs w:val="24"/>
        </w:rPr>
        <w:t>kate</w:t>
      </w:r>
      <w:r w:rsidR="00297D11">
        <w:rPr>
          <w:color w:val="auto"/>
          <w:szCs w:val="24"/>
        </w:rPr>
        <w:t xml:space="preserve">gori. </w:t>
      </w:r>
      <w:r w:rsidR="006A1EED">
        <w:rPr>
          <w:color w:val="auto"/>
          <w:szCs w:val="24"/>
        </w:rPr>
        <w:t>S</w:t>
      </w:r>
      <w:r w:rsidR="00CF4851">
        <w:rPr>
          <w:color w:val="auto"/>
          <w:szCs w:val="24"/>
        </w:rPr>
        <w:t xml:space="preserve">um </w:t>
      </w:r>
      <w:r w:rsidR="00880E03">
        <w:rPr>
          <w:color w:val="auto"/>
          <w:szCs w:val="24"/>
        </w:rPr>
        <w:t xml:space="preserve">av alle </w:t>
      </w:r>
      <w:r w:rsidR="00CF4851">
        <w:rPr>
          <w:color w:val="auto"/>
          <w:szCs w:val="24"/>
        </w:rPr>
        <w:t>kontante ytelser</w:t>
      </w:r>
      <w:r w:rsidR="00F822EE">
        <w:rPr>
          <w:color w:val="auto"/>
          <w:szCs w:val="24"/>
        </w:rPr>
        <w:t xml:space="preserve"> </w:t>
      </w:r>
      <w:r w:rsidR="009025E3">
        <w:rPr>
          <w:color w:val="auto"/>
          <w:szCs w:val="24"/>
        </w:rPr>
        <w:t xml:space="preserve">(total kompensasjon) </w:t>
      </w:r>
      <w:r w:rsidR="006A1EED">
        <w:rPr>
          <w:color w:val="auto"/>
          <w:szCs w:val="24"/>
        </w:rPr>
        <w:t xml:space="preserve">er vist i </w:t>
      </w:r>
      <w:r w:rsidR="00F822EE">
        <w:rPr>
          <w:color w:val="auto"/>
          <w:szCs w:val="24"/>
        </w:rPr>
        <w:t>hvit kolonne</w:t>
      </w:r>
      <w:r w:rsidR="00CF4851">
        <w:rPr>
          <w:color w:val="auto"/>
          <w:szCs w:val="24"/>
        </w:rPr>
        <w:t>. I tillegg vises forskjelle</w:t>
      </w:r>
      <w:r w:rsidR="00880E03">
        <w:rPr>
          <w:color w:val="auto"/>
          <w:szCs w:val="24"/>
        </w:rPr>
        <w:t>ne</w:t>
      </w:r>
      <w:r w:rsidR="00CF4851">
        <w:rPr>
          <w:color w:val="auto"/>
          <w:szCs w:val="24"/>
        </w:rPr>
        <w:t xml:space="preserve"> </w:t>
      </w:r>
      <w:r w:rsidR="006A1EED">
        <w:rPr>
          <w:color w:val="auto"/>
          <w:szCs w:val="24"/>
        </w:rPr>
        <w:t xml:space="preserve">for </w:t>
      </w:r>
      <w:r w:rsidR="00CF4851">
        <w:rPr>
          <w:color w:val="auto"/>
          <w:szCs w:val="24"/>
        </w:rPr>
        <w:t>avtalefestet årslønn</w:t>
      </w:r>
      <w:r w:rsidR="00E27B5F">
        <w:rPr>
          <w:color w:val="auto"/>
          <w:szCs w:val="24"/>
        </w:rPr>
        <w:t xml:space="preserve"> </w:t>
      </w:r>
      <w:r w:rsidR="004349B8">
        <w:rPr>
          <w:color w:val="auto"/>
          <w:szCs w:val="24"/>
        </w:rPr>
        <w:t xml:space="preserve">i </w:t>
      </w:r>
      <w:r w:rsidR="00020AC1">
        <w:rPr>
          <w:color w:val="auto"/>
          <w:szCs w:val="24"/>
        </w:rPr>
        <w:t xml:space="preserve">grå </w:t>
      </w:r>
      <w:r w:rsidR="00A65C11">
        <w:rPr>
          <w:color w:val="auto"/>
          <w:szCs w:val="24"/>
        </w:rPr>
        <w:t>kolonne</w:t>
      </w:r>
      <w:r w:rsidR="005D54CD">
        <w:rPr>
          <w:color w:val="auto"/>
          <w:szCs w:val="24"/>
        </w:rPr>
        <w:t xml:space="preserve"> </w:t>
      </w:r>
      <w:r w:rsidR="00914C96">
        <w:rPr>
          <w:color w:val="auto"/>
          <w:szCs w:val="24"/>
        </w:rPr>
        <w:t xml:space="preserve">og bonus </w:t>
      </w:r>
      <w:r w:rsidR="00E27B5F">
        <w:rPr>
          <w:color w:val="auto"/>
          <w:szCs w:val="24"/>
        </w:rPr>
        <w:t>trukket ut separat</w:t>
      </w:r>
      <w:r w:rsidR="00F822EE">
        <w:rPr>
          <w:color w:val="auto"/>
          <w:szCs w:val="24"/>
        </w:rPr>
        <w:t xml:space="preserve"> </w:t>
      </w:r>
      <w:r w:rsidR="004349B8">
        <w:rPr>
          <w:color w:val="auto"/>
          <w:szCs w:val="24"/>
        </w:rPr>
        <w:t>i</w:t>
      </w:r>
      <w:r w:rsidR="00020AC1">
        <w:rPr>
          <w:color w:val="auto"/>
          <w:szCs w:val="24"/>
        </w:rPr>
        <w:t xml:space="preserve"> blå</w:t>
      </w:r>
      <w:r w:rsidR="005F1928">
        <w:rPr>
          <w:color w:val="auto"/>
          <w:szCs w:val="24"/>
        </w:rPr>
        <w:t xml:space="preserve">. </w:t>
      </w:r>
      <w:r w:rsidR="00DD2AFA">
        <w:rPr>
          <w:color w:val="auto"/>
          <w:szCs w:val="24"/>
        </w:rPr>
        <w:t>Kommentarer til resultatene av kartleggingen følger nedenfor</w:t>
      </w:r>
      <w:r w:rsidR="004349B8">
        <w:rPr>
          <w:color w:val="auto"/>
          <w:szCs w:val="24"/>
        </w:rPr>
        <w:t xml:space="preserve"> per stillings</w:t>
      </w:r>
      <w:r w:rsidR="003C713A">
        <w:rPr>
          <w:color w:val="auto"/>
          <w:szCs w:val="24"/>
        </w:rPr>
        <w:t>kategori</w:t>
      </w:r>
      <w:r w:rsidR="00DD2AFA">
        <w:rPr>
          <w:color w:val="auto"/>
          <w:szCs w:val="24"/>
        </w:rPr>
        <w:t>.</w:t>
      </w:r>
    </w:p>
    <w:p w14:paraId="4B4E05FF" w14:textId="77777777" w:rsidR="009D4B70" w:rsidRDefault="009D4B70" w:rsidP="00F864A1">
      <w:pPr>
        <w:tabs>
          <w:tab w:val="left" w:pos="709"/>
        </w:tabs>
        <w:contextualSpacing/>
        <w:jc w:val="both"/>
        <w:rPr>
          <w:color w:val="auto"/>
        </w:rPr>
      </w:pPr>
    </w:p>
    <w:p w14:paraId="49B6A947" w14:textId="77777777" w:rsidR="00041592" w:rsidRDefault="00041592" w:rsidP="00F864A1">
      <w:pPr>
        <w:tabs>
          <w:tab w:val="left" w:pos="709"/>
        </w:tabs>
        <w:contextualSpacing/>
        <w:jc w:val="both"/>
        <w:rPr>
          <w:b/>
          <w:bCs/>
          <w:color w:val="auto"/>
        </w:rPr>
      </w:pPr>
    </w:p>
    <w:tbl>
      <w:tblPr>
        <w:tblW w:w="8559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2319"/>
        <w:gridCol w:w="2100"/>
        <w:gridCol w:w="2211"/>
      </w:tblGrid>
      <w:tr w:rsidR="003C713A" w:rsidRPr="00122C96" w14:paraId="770F32E7" w14:textId="77777777" w:rsidTr="009703D8">
        <w:trPr>
          <w:trHeight w:val="582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1F410B76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S</w:t>
            </w: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tillingsnivå/-gruppe</w:t>
            </w:r>
          </w:p>
        </w:tc>
        <w:tc>
          <w:tcPr>
            <w:tcW w:w="2319" w:type="dxa"/>
            <w:shd w:val="clear" w:color="auto" w:fill="auto"/>
            <w:hideMark/>
          </w:tcPr>
          <w:p w14:paraId="1D61737A" w14:textId="77777777" w:rsidR="003C713A" w:rsidRPr="00122C96" w:rsidRDefault="003C713A" w:rsidP="00816214">
            <w:pPr>
              <w:spacing w:befor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 xml:space="preserve">Forskjeller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total kompensasjon*</w:t>
            </w:r>
          </w:p>
        </w:tc>
        <w:tc>
          <w:tcPr>
            <w:tcW w:w="2100" w:type="dxa"/>
            <w:shd w:val="clear" w:color="auto" w:fill="E7E6E6" w:themeFill="background2"/>
          </w:tcPr>
          <w:p w14:paraId="3E97DF58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Forskjeller fastlønn</w:t>
            </w:r>
          </w:p>
          <w:p w14:paraId="63600C82" w14:textId="5E3D1310" w:rsidR="003C713A" w:rsidRPr="00411932" w:rsidRDefault="003C713A" w:rsidP="00F864A1">
            <w:pPr>
              <w:pStyle w:val="Listeavsnitt"/>
              <w:numPr>
                <w:ilvl w:val="0"/>
                <w:numId w:val="32"/>
              </w:num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411932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Kvinner mer/mindre enn menn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76CCB363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Forskjeller bonus</w:t>
            </w:r>
          </w:p>
          <w:p w14:paraId="260AC6D7" w14:textId="60522EDC" w:rsidR="003C713A" w:rsidRPr="00411932" w:rsidRDefault="003C713A" w:rsidP="00F864A1">
            <w:pPr>
              <w:pStyle w:val="Listeavsnitt"/>
              <w:numPr>
                <w:ilvl w:val="0"/>
                <w:numId w:val="32"/>
              </w:numPr>
              <w:spacing w:before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</w:pPr>
            <w:r w:rsidRPr="00411932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nb-NO"/>
              </w:rPr>
              <w:t>Kvinner mer/mindre enn menn</w:t>
            </w:r>
          </w:p>
        </w:tc>
      </w:tr>
      <w:tr w:rsidR="003C713A" w:rsidRPr="00122C96" w14:paraId="1099698A" w14:textId="77777777" w:rsidTr="009703D8">
        <w:trPr>
          <w:trHeight w:val="6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1D20C80C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Leder med personalansvar</w:t>
            </w:r>
          </w:p>
        </w:tc>
        <w:tc>
          <w:tcPr>
            <w:tcW w:w="2319" w:type="dxa"/>
            <w:shd w:val="clear" w:color="auto" w:fill="auto"/>
          </w:tcPr>
          <w:p w14:paraId="0DA73F37" w14:textId="0259375D" w:rsidR="003C713A" w:rsidRPr="00122C96" w:rsidRDefault="00156A9C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5</w:t>
            </w:r>
            <w:r w:rsidR="002D546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</w:t>
            </w:r>
            <w:r w:rsidR="003C713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6430E610" w14:textId="0F48C747" w:rsidR="003C713A" w:rsidRDefault="000C6115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4 </w:t>
            </w:r>
            <w:r w:rsidR="003C713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42F6DFC9" w14:textId="1B8DA4A6" w:rsidR="003C713A" w:rsidRDefault="00515E54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39</w:t>
            </w:r>
            <w:r w:rsidR="00C30EAF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</w:t>
            </w:r>
            <w:r w:rsidR="003C713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</w:tr>
      <w:tr w:rsidR="003C713A" w:rsidRPr="00122C96" w14:paraId="08A73D88" w14:textId="77777777" w:rsidTr="009703D8">
        <w:trPr>
          <w:trHeight w:val="9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687288EE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Leder med personalansvar operativt</w:t>
            </w:r>
          </w:p>
        </w:tc>
        <w:tc>
          <w:tcPr>
            <w:tcW w:w="2319" w:type="dxa"/>
            <w:shd w:val="clear" w:color="auto" w:fill="auto"/>
          </w:tcPr>
          <w:p w14:paraId="0CFBFC57" w14:textId="77FBE63E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2D546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6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3A0C3BF8" w14:textId="40E05D4D" w:rsidR="003C713A" w:rsidRDefault="00AB1D05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-8 %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026572F0" w14:textId="2D6930F0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N/A</w:t>
            </w:r>
            <w:r w:rsidR="009E1D85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*</w:t>
            </w:r>
          </w:p>
        </w:tc>
      </w:tr>
      <w:tr w:rsidR="003C713A" w:rsidRPr="00122C96" w14:paraId="68E7B2AC" w14:textId="77777777" w:rsidTr="009703D8">
        <w:trPr>
          <w:trHeight w:val="6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12F04944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Spesialistfunksjon</w:t>
            </w:r>
          </w:p>
        </w:tc>
        <w:tc>
          <w:tcPr>
            <w:tcW w:w="2319" w:type="dxa"/>
            <w:shd w:val="clear" w:color="auto" w:fill="auto"/>
          </w:tcPr>
          <w:p w14:paraId="27376922" w14:textId="6D0F6589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6B67B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4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13C90F7A" w14:textId="36130AA0" w:rsidR="003C713A" w:rsidRDefault="00D60322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- 6 </w:t>
            </w:r>
            <w:r w:rsidR="003C713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236371CC" w14:textId="3F06989D" w:rsidR="003C713A" w:rsidRDefault="00B40E79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-74 </w:t>
            </w:r>
            <w:r w:rsidR="003C713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</w:tr>
      <w:tr w:rsidR="003C713A" w:rsidRPr="00122C96" w14:paraId="682921B4" w14:textId="77777777" w:rsidTr="009703D8">
        <w:trPr>
          <w:trHeight w:val="3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1BBE4DB3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Funksjonær</w:t>
            </w:r>
          </w:p>
          <w:p w14:paraId="6EB77E01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</w:p>
        </w:tc>
        <w:tc>
          <w:tcPr>
            <w:tcW w:w="2319" w:type="dxa"/>
            <w:shd w:val="clear" w:color="auto" w:fill="auto"/>
          </w:tcPr>
          <w:p w14:paraId="1069CC20" w14:textId="06122592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B251D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15</w:t>
            </w:r>
            <w:r w:rsidR="00626AD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45C8A07F" w14:textId="5A5EAF5B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EE73E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7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3CC1FCCE" w14:textId="00B34762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BC09E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26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</w:tr>
      <w:tr w:rsidR="003C713A" w:rsidRPr="00122C96" w14:paraId="1B059EF2" w14:textId="77777777" w:rsidTr="009703D8">
        <w:trPr>
          <w:trHeight w:val="3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0CFEF77F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Salg/marked</w:t>
            </w:r>
          </w:p>
          <w:p w14:paraId="2C697557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</w:p>
        </w:tc>
        <w:tc>
          <w:tcPr>
            <w:tcW w:w="2319" w:type="dxa"/>
            <w:shd w:val="clear" w:color="auto" w:fill="auto"/>
          </w:tcPr>
          <w:p w14:paraId="64C758E7" w14:textId="5AB76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626AD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2</w:t>
            </w:r>
            <w:r w:rsidR="00B251D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6</w:t>
            </w:r>
            <w:r w:rsidR="00626AD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4EAA8F00" w14:textId="2F6AF2A2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D6032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20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003CE139" w14:textId="00744E46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6A125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74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</w:tr>
      <w:tr w:rsidR="003C713A" w:rsidRPr="00122C96" w14:paraId="1C0460A0" w14:textId="77777777" w:rsidTr="009703D8">
        <w:trPr>
          <w:trHeight w:val="3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41AF7957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Operativ</w:t>
            </w:r>
          </w:p>
          <w:p w14:paraId="03CEC6C4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</w:p>
        </w:tc>
        <w:tc>
          <w:tcPr>
            <w:tcW w:w="2319" w:type="dxa"/>
            <w:shd w:val="clear" w:color="auto" w:fill="auto"/>
          </w:tcPr>
          <w:p w14:paraId="2EABFD9C" w14:textId="4C161A31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</w:t>
            </w:r>
            <w:r w:rsidR="00537C3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13</w:t>
            </w:r>
            <w:r w:rsidR="0043662C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100" w:type="dxa"/>
            <w:shd w:val="clear" w:color="auto" w:fill="E7E6E6" w:themeFill="background2"/>
          </w:tcPr>
          <w:p w14:paraId="172D0A30" w14:textId="696D9515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-1</w:t>
            </w:r>
            <w:r w:rsidR="00191384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35EC95FA" w14:textId="3F4AF41F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-3</w:t>
            </w:r>
            <w:r w:rsidR="006A125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 xml:space="preserve">6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%</w:t>
            </w:r>
          </w:p>
        </w:tc>
      </w:tr>
      <w:tr w:rsidR="003C713A" w:rsidRPr="00122C96" w14:paraId="0C658447" w14:textId="77777777" w:rsidTr="009703D8">
        <w:trPr>
          <w:trHeight w:val="300"/>
        </w:trPr>
        <w:tc>
          <w:tcPr>
            <w:tcW w:w="1929" w:type="dxa"/>
            <w:shd w:val="clear" w:color="auto" w:fill="FFECC3" w:themeFill="accent3" w:themeFillTint="66"/>
            <w:hideMark/>
          </w:tcPr>
          <w:p w14:paraId="6EFBA6ED" w14:textId="77777777" w:rsidR="003C713A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 w:rsidRPr="00122C96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Konsernledelse</w:t>
            </w:r>
          </w:p>
          <w:p w14:paraId="473FB2E8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</w:p>
        </w:tc>
        <w:tc>
          <w:tcPr>
            <w:tcW w:w="2319" w:type="dxa"/>
            <w:shd w:val="clear" w:color="auto" w:fill="auto"/>
          </w:tcPr>
          <w:p w14:paraId="71BF3BD4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N/A</w:t>
            </w:r>
          </w:p>
        </w:tc>
        <w:tc>
          <w:tcPr>
            <w:tcW w:w="2100" w:type="dxa"/>
            <w:shd w:val="clear" w:color="auto" w:fill="E7E6E6" w:themeFill="background2"/>
          </w:tcPr>
          <w:p w14:paraId="50673424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N/A</w:t>
            </w:r>
          </w:p>
        </w:tc>
        <w:tc>
          <w:tcPr>
            <w:tcW w:w="2211" w:type="dxa"/>
            <w:shd w:val="clear" w:color="auto" w:fill="9CC2E5" w:themeFill="accent5" w:themeFillTint="99"/>
          </w:tcPr>
          <w:p w14:paraId="22483A4C" w14:textId="77777777" w:rsidR="003C713A" w:rsidRPr="00122C96" w:rsidRDefault="003C713A" w:rsidP="00F864A1">
            <w:pPr>
              <w:spacing w:before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nb-NO"/>
              </w:rPr>
              <w:t>N/A</w:t>
            </w:r>
          </w:p>
        </w:tc>
      </w:tr>
    </w:tbl>
    <w:p w14:paraId="3AB83972" w14:textId="35383CBA" w:rsidR="00B25442" w:rsidRPr="000A710A" w:rsidRDefault="0FE6A34F" w:rsidP="00F864A1">
      <w:pPr>
        <w:ind w:left="720"/>
        <w:contextualSpacing/>
        <w:jc w:val="both"/>
        <w:rPr>
          <w:i/>
          <w:iCs/>
          <w:sz w:val="20"/>
        </w:rPr>
      </w:pPr>
      <w:r w:rsidRPr="000A710A">
        <w:rPr>
          <w:i/>
          <w:iCs/>
          <w:sz w:val="20"/>
        </w:rPr>
        <w:t xml:space="preserve">Tabell 3 - Lønnsforskjeller i NG Group i Norge per stillingskategori. </w:t>
      </w:r>
      <w:r w:rsidRPr="000A710A">
        <w:rPr>
          <w:i/>
          <w:iCs/>
          <w:color w:val="auto"/>
          <w:sz w:val="20"/>
        </w:rPr>
        <w:t xml:space="preserve">Lønnsforskjellene er beregnet ved bruk av følgende formel: ((kvinnes lønn-manns lønn)/manns lønn). </w:t>
      </w:r>
    </w:p>
    <w:p w14:paraId="1E4EE3B0" w14:textId="3A8BA01A" w:rsidR="00B25442" w:rsidRPr="000479B4" w:rsidRDefault="00B25442" w:rsidP="00F864A1">
      <w:pPr>
        <w:tabs>
          <w:tab w:val="left" w:pos="709"/>
        </w:tabs>
        <w:contextualSpacing/>
        <w:jc w:val="both"/>
        <w:rPr>
          <w:color w:val="auto"/>
        </w:rPr>
      </w:pPr>
    </w:p>
    <w:p w14:paraId="164B6D90" w14:textId="2A6F737B" w:rsidR="00640A8D" w:rsidRDefault="00640A8D" w:rsidP="00F864A1">
      <w:pPr>
        <w:pStyle w:val="Overskrift4"/>
        <w:jc w:val="both"/>
      </w:pPr>
      <w:r>
        <w:t xml:space="preserve">Kommentarer </w:t>
      </w:r>
      <w:r w:rsidR="00234A3F">
        <w:t xml:space="preserve">til </w:t>
      </w:r>
      <w:r w:rsidR="005A04AA">
        <w:t>tabell</w:t>
      </w:r>
      <w:r w:rsidR="002F3DBA">
        <w:t xml:space="preserve"> 3</w:t>
      </w:r>
      <w:r w:rsidR="0056447C">
        <w:t xml:space="preserve"> </w:t>
      </w:r>
    </w:p>
    <w:p w14:paraId="0B874254" w14:textId="1A81D3C4" w:rsidR="00C960B8" w:rsidRDefault="00230FC4" w:rsidP="00F864A1">
      <w:pPr>
        <w:jc w:val="both"/>
      </w:pPr>
      <w:r>
        <w:t xml:space="preserve">Resultatene fra årets kartlegging viser at </w:t>
      </w:r>
      <w:r w:rsidR="00665D26">
        <w:t>kvinner</w:t>
      </w:r>
      <w:r w:rsidR="00DA5B4A">
        <w:t xml:space="preserve"> </w:t>
      </w:r>
      <w:r w:rsidR="008F17B2">
        <w:t>i kategorien</w:t>
      </w:r>
      <w:r w:rsidR="00DA5B4A">
        <w:t xml:space="preserve"> </w:t>
      </w:r>
      <w:r w:rsidR="006E633E" w:rsidRPr="3EF605AE">
        <w:rPr>
          <w:b/>
          <w:bCs/>
          <w:i/>
          <w:iCs/>
        </w:rPr>
        <w:t>«</w:t>
      </w:r>
      <w:r w:rsidR="00DA5B4A" w:rsidRPr="3EF605AE">
        <w:rPr>
          <w:b/>
          <w:bCs/>
          <w:i/>
          <w:iCs/>
        </w:rPr>
        <w:t>Leder med personalansvar</w:t>
      </w:r>
      <w:r w:rsidR="006E633E" w:rsidRPr="3EF605AE">
        <w:rPr>
          <w:b/>
          <w:bCs/>
          <w:i/>
          <w:iCs/>
        </w:rPr>
        <w:t>»</w:t>
      </w:r>
      <w:r w:rsidR="00665D26">
        <w:t xml:space="preserve"> </w:t>
      </w:r>
      <w:r w:rsidR="009A55E1">
        <w:t xml:space="preserve">i snitt </w:t>
      </w:r>
      <w:r w:rsidR="00494965">
        <w:t xml:space="preserve">har en </w:t>
      </w:r>
      <w:r w:rsidR="00202175">
        <w:t>avtalefestet års</w:t>
      </w:r>
      <w:r w:rsidR="009A55E1">
        <w:t>lønn</w:t>
      </w:r>
      <w:r w:rsidR="00A30CE2">
        <w:t xml:space="preserve"> </w:t>
      </w:r>
      <w:r w:rsidR="001E448C">
        <w:t xml:space="preserve">som </w:t>
      </w:r>
      <w:r w:rsidR="00E71868">
        <w:t xml:space="preserve">er </w:t>
      </w:r>
      <w:r w:rsidR="000C6115">
        <w:t>4</w:t>
      </w:r>
      <w:r w:rsidR="008F17B2">
        <w:t xml:space="preserve"> </w:t>
      </w:r>
      <w:r w:rsidR="00DF7155">
        <w:t xml:space="preserve">% </w:t>
      </w:r>
      <w:r w:rsidR="008F17B2">
        <w:t xml:space="preserve">høyere enn </w:t>
      </w:r>
      <w:r w:rsidR="00A30CE2">
        <w:t>menn</w:t>
      </w:r>
      <w:r w:rsidR="008F17B2">
        <w:t>s lønn i samme kategori</w:t>
      </w:r>
      <w:r w:rsidR="00665D26">
        <w:t>.</w:t>
      </w:r>
      <w:r w:rsidR="00FE786F">
        <w:t xml:space="preserve"> </w:t>
      </w:r>
      <w:r w:rsidR="00FE38B0">
        <w:t>Kartleggingen viser at det</w:t>
      </w:r>
      <w:r w:rsidR="001E448C">
        <w:t xml:space="preserve"> er </w:t>
      </w:r>
      <w:r w:rsidR="00285A7C">
        <w:t>om lag</w:t>
      </w:r>
      <w:r w:rsidR="001E448C">
        <w:t xml:space="preserve"> </w:t>
      </w:r>
      <w:r w:rsidR="00EA10EE">
        <w:t xml:space="preserve">kr </w:t>
      </w:r>
      <w:r w:rsidR="00AA4728">
        <w:t>45 000</w:t>
      </w:r>
      <w:r w:rsidR="00EA10EE">
        <w:t xml:space="preserve"> som skiller </w:t>
      </w:r>
      <w:r w:rsidR="008F17B2">
        <w:t>gjennomsnittslønn</w:t>
      </w:r>
      <w:r w:rsidR="00285A7C">
        <w:t>en</w:t>
      </w:r>
      <w:r w:rsidR="008F17B2">
        <w:t xml:space="preserve"> </w:t>
      </w:r>
      <w:r w:rsidR="00FE38B0">
        <w:t>mellom kjønnene</w:t>
      </w:r>
      <w:r w:rsidR="001547E5">
        <w:t xml:space="preserve">. </w:t>
      </w:r>
      <w:r w:rsidR="0044322F">
        <w:t xml:space="preserve">Ser man på totalkompensasjon ligger </w:t>
      </w:r>
      <w:r w:rsidR="005457EF">
        <w:t>kvinnelige ledere</w:t>
      </w:r>
      <w:r w:rsidR="0044322F">
        <w:t xml:space="preserve"> </w:t>
      </w:r>
      <w:r w:rsidR="00156A9C">
        <w:t>5</w:t>
      </w:r>
      <w:r w:rsidR="0044322F">
        <w:t xml:space="preserve"> % </w:t>
      </w:r>
      <w:r w:rsidR="005457EF">
        <w:t>høyere enn menn</w:t>
      </w:r>
      <w:r w:rsidR="002A6459">
        <w:t>.</w:t>
      </w:r>
      <w:r w:rsidR="0044322F">
        <w:t xml:space="preserve"> </w:t>
      </w:r>
      <w:r w:rsidR="00C80BC4">
        <w:t>Det er betydelig</w:t>
      </w:r>
      <w:r w:rsidR="00107684">
        <w:t>e</w:t>
      </w:r>
      <w:r w:rsidR="00C80BC4">
        <w:t xml:space="preserve"> forskjeller i bonus</w:t>
      </w:r>
      <w:r w:rsidR="006A23DD">
        <w:t>utbetaling der kvinner</w:t>
      </w:r>
      <w:r w:rsidR="001B77AC">
        <w:t xml:space="preserve"> </w:t>
      </w:r>
      <w:r w:rsidR="00ED1CB1">
        <w:t xml:space="preserve">i snitt får </w:t>
      </w:r>
      <w:r w:rsidR="006A23DD">
        <w:t>utbetalt</w:t>
      </w:r>
      <w:r w:rsidR="00ED1CB1">
        <w:t xml:space="preserve"> </w:t>
      </w:r>
      <w:r w:rsidR="00515E54">
        <w:t>39</w:t>
      </w:r>
      <w:r w:rsidR="0074427B">
        <w:t xml:space="preserve"> </w:t>
      </w:r>
      <w:r w:rsidR="00ED1CB1">
        <w:t xml:space="preserve">% </w:t>
      </w:r>
      <w:r w:rsidR="0074427B">
        <w:t xml:space="preserve">mer enn sine mannlige ledere med personalansvar. </w:t>
      </w:r>
      <w:r w:rsidR="00ED1CB1">
        <w:t xml:space="preserve"> </w:t>
      </w:r>
      <w:r w:rsidR="00454CCB">
        <w:t>Hovedårsaken</w:t>
      </w:r>
      <w:r w:rsidR="00CB63C9">
        <w:t xml:space="preserve"> til denne store forskjellen er at det er få kvinner i denne kategorien og </w:t>
      </w:r>
      <w:r w:rsidR="00E55983">
        <w:t xml:space="preserve">6 </w:t>
      </w:r>
      <w:r w:rsidR="00963B54">
        <w:t>av disse har høye bonuser for 2023</w:t>
      </w:r>
      <w:r w:rsidR="00E55983">
        <w:t xml:space="preserve"> sett </w:t>
      </w:r>
      <w:r w:rsidR="00FA15C3">
        <w:t>ift.</w:t>
      </w:r>
      <w:r w:rsidR="00E55983">
        <w:t xml:space="preserve"> gjennomsnittet</w:t>
      </w:r>
      <w:r w:rsidR="006A40A0">
        <w:t xml:space="preserve"> totalt</w:t>
      </w:r>
      <w:r w:rsidR="00963B54">
        <w:t xml:space="preserve">. </w:t>
      </w:r>
      <w:r w:rsidR="007C42C1">
        <w:t xml:space="preserve">Majoriteten av mannlige ledere </w:t>
      </w:r>
      <w:r w:rsidR="00B13440">
        <w:t>med bonus</w:t>
      </w:r>
      <w:r w:rsidR="00077F27">
        <w:t>utbetalinger</w:t>
      </w:r>
      <w:r w:rsidR="00B13440">
        <w:t xml:space="preserve"> i 2023 </w:t>
      </w:r>
      <w:r w:rsidR="003A5320">
        <w:t xml:space="preserve">ligger </w:t>
      </w:r>
      <w:r w:rsidR="00860B1A">
        <w:t xml:space="preserve">vesentlig </w:t>
      </w:r>
      <w:r w:rsidR="003A5320">
        <w:t xml:space="preserve">under det totale gjennomsnittet. </w:t>
      </w:r>
      <w:r w:rsidR="00963B54">
        <w:t xml:space="preserve">Dette </w:t>
      </w:r>
      <w:r w:rsidR="00860B1A">
        <w:t xml:space="preserve">er med å </w:t>
      </w:r>
      <w:r w:rsidR="00077F27">
        <w:t>forklare den relativt store forskjellen.</w:t>
      </w:r>
      <w:r w:rsidR="00336DF7">
        <w:t xml:space="preserve"> </w:t>
      </w:r>
    </w:p>
    <w:p w14:paraId="3F7469F9" w14:textId="5751A8C1" w:rsidR="00345EBA" w:rsidRDefault="00C2021D" w:rsidP="00F864A1">
      <w:pPr>
        <w:jc w:val="both"/>
      </w:pPr>
      <w:r>
        <w:t xml:space="preserve">I kategorien </w:t>
      </w:r>
      <w:r w:rsidR="005457EF" w:rsidRPr="005457EF">
        <w:rPr>
          <w:b/>
          <w:bCs/>
          <w:i/>
          <w:iCs/>
        </w:rPr>
        <w:t>«Leder med personalansvar operativ»</w:t>
      </w:r>
      <w:r w:rsidR="005457EF">
        <w:t xml:space="preserve"> </w:t>
      </w:r>
      <w:r>
        <w:t xml:space="preserve">har kvinner </w:t>
      </w:r>
      <w:r w:rsidR="00E44BBC">
        <w:t>8</w:t>
      </w:r>
      <w:r>
        <w:t xml:space="preserve"> % lavere gjennomsnitt </w:t>
      </w:r>
      <w:r w:rsidR="00E44BBC">
        <w:t xml:space="preserve">basis </w:t>
      </w:r>
      <w:r>
        <w:t xml:space="preserve">lønn </w:t>
      </w:r>
      <w:r w:rsidR="005457EF">
        <w:t>enn</w:t>
      </w:r>
      <w:r>
        <w:t xml:space="preserve"> men</w:t>
      </w:r>
      <w:r w:rsidR="00E44BBC">
        <w:t xml:space="preserve">n </w:t>
      </w:r>
      <w:r w:rsidR="00F15A28">
        <w:t xml:space="preserve">og 6 % lavere </w:t>
      </w:r>
      <w:r w:rsidR="00DC43D9">
        <w:t xml:space="preserve">når man ser på totalkompensasjon. Det er viktig å legge merke til at her er det veldig få kvinner </w:t>
      </w:r>
      <w:proofErr w:type="spellStart"/>
      <w:r w:rsidR="00DC43D9">
        <w:t>ift</w:t>
      </w:r>
      <w:proofErr w:type="spellEnd"/>
      <w:r w:rsidR="00DC43D9">
        <w:t xml:space="preserve"> menn i denne stillingskategorien</w:t>
      </w:r>
      <w:r w:rsidR="001C2315">
        <w:t xml:space="preserve">, og de fleste menn i denne kategorien er høyere opp i organisasjonen og </w:t>
      </w:r>
      <w:r w:rsidR="00957AA1">
        <w:t xml:space="preserve">disse senior rollene </w:t>
      </w:r>
      <w:r w:rsidR="001C2315">
        <w:t xml:space="preserve">tjener </w:t>
      </w:r>
      <w:r w:rsidR="009D5591">
        <w:t>naturl</w:t>
      </w:r>
      <w:r w:rsidR="00957AA1">
        <w:t xml:space="preserve">ig nok mer da ansvaret er større. </w:t>
      </w:r>
    </w:p>
    <w:p w14:paraId="29F18C98" w14:textId="7B0E976B" w:rsidR="00B13440" w:rsidRPr="00336097" w:rsidRDefault="00B13440" w:rsidP="00F864A1">
      <w:pPr>
        <w:jc w:val="both"/>
      </w:pPr>
      <w:r w:rsidRPr="00336097">
        <w:t xml:space="preserve">For stillingskategorien </w:t>
      </w:r>
      <w:r w:rsidRPr="006E56CD">
        <w:t>«</w:t>
      </w:r>
      <w:r w:rsidRPr="006E56CD">
        <w:rPr>
          <w:i/>
          <w:iCs/>
        </w:rPr>
        <w:t>Leder med personalansvar operativ</w:t>
      </w:r>
      <w:r w:rsidRPr="006E56CD">
        <w:t>»</w:t>
      </w:r>
      <w:r w:rsidRPr="00336097">
        <w:t xml:space="preserve"> er det kun 1 kvinne, og av hensyn til personvern opplyses det derfor ikke om konkrete forskjeller, men kartleggingen viser at bonus for menn i snitt </w:t>
      </w:r>
      <w:r w:rsidR="00FC18A7">
        <w:t xml:space="preserve">er </w:t>
      </w:r>
      <w:r w:rsidRPr="00336097">
        <w:t xml:space="preserve">høyere enn for kvinner. </w:t>
      </w:r>
    </w:p>
    <w:p w14:paraId="555EDD1C" w14:textId="31E0281C" w:rsidR="0075712A" w:rsidRDefault="00285A7C" w:rsidP="00F864A1">
      <w:pPr>
        <w:jc w:val="both"/>
      </w:pPr>
      <w:r>
        <w:lastRenderedPageBreak/>
        <w:t>For</w:t>
      </w:r>
      <w:r w:rsidR="00EA10EE">
        <w:t xml:space="preserve"> </w:t>
      </w:r>
      <w:r w:rsidR="00A249DC">
        <w:t>ansatte i</w:t>
      </w:r>
      <w:r w:rsidR="00EA10EE">
        <w:t xml:space="preserve"> </w:t>
      </w:r>
      <w:r w:rsidR="006E633E">
        <w:t xml:space="preserve">kategorien </w:t>
      </w:r>
      <w:r w:rsidR="00FE2FF9" w:rsidRPr="000743A0">
        <w:rPr>
          <w:b/>
          <w:bCs/>
          <w:i/>
          <w:iCs/>
        </w:rPr>
        <w:t>«Spesialistfunksjon»</w:t>
      </w:r>
      <w:r w:rsidR="003B520A">
        <w:t xml:space="preserve"> har kvinner </w:t>
      </w:r>
      <w:r w:rsidR="001D7CDF">
        <w:t xml:space="preserve">6 % lavere </w:t>
      </w:r>
      <w:r w:rsidR="00C962ED">
        <w:t>gjennomsnittslønn</w:t>
      </w:r>
      <w:r w:rsidR="00BE1CAF">
        <w:t xml:space="preserve"> </w:t>
      </w:r>
      <w:r w:rsidR="005F7CDD">
        <w:t>enn men</w:t>
      </w:r>
      <w:r w:rsidR="00BE1CAF">
        <w:t>n</w:t>
      </w:r>
      <w:r w:rsidR="0070134E">
        <w:t xml:space="preserve">; </w:t>
      </w:r>
      <w:r w:rsidR="00AF0045">
        <w:t>H</w:t>
      </w:r>
      <w:r w:rsidR="0070134E">
        <w:t>er har kvinner om lag 50</w:t>
      </w:r>
      <w:r w:rsidR="00526B72">
        <w:t xml:space="preserve"> </w:t>
      </w:r>
      <w:r w:rsidR="0070134E">
        <w:t>0</w:t>
      </w:r>
      <w:r w:rsidR="00B22DCD">
        <w:t>0</w:t>
      </w:r>
      <w:r w:rsidR="0070134E">
        <w:t xml:space="preserve">0 kr </w:t>
      </w:r>
      <w:r w:rsidR="00B22DCD">
        <w:t>mindre</w:t>
      </w:r>
      <w:r w:rsidR="0070134E">
        <w:t xml:space="preserve"> enn menn i samme kategori</w:t>
      </w:r>
      <w:r w:rsidR="0075712A">
        <w:t xml:space="preserve">. </w:t>
      </w:r>
      <w:r w:rsidR="000743A0">
        <w:t xml:space="preserve">Når vi ser </w:t>
      </w:r>
      <w:r w:rsidR="00B4146B">
        <w:t>på total</w:t>
      </w:r>
      <w:r w:rsidR="00587E0E">
        <w:t xml:space="preserve"> kompensasjon</w:t>
      </w:r>
      <w:r w:rsidR="0075712A">
        <w:t xml:space="preserve"> er forskjellen </w:t>
      </w:r>
      <w:r w:rsidR="000238FB">
        <w:t xml:space="preserve">noe </w:t>
      </w:r>
      <w:r w:rsidR="0070134E">
        <w:t>større</w:t>
      </w:r>
      <w:r w:rsidR="000238FB">
        <w:t>;</w:t>
      </w:r>
      <w:r w:rsidR="0070134E">
        <w:t xml:space="preserve"> her er</w:t>
      </w:r>
      <w:r w:rsidR="0075712A">
        <w:t xml:space="preserve"> </w:t>
      </w:r>
      <w:r w:rsidR="00587CD5">
        <w:t xml:space="preserve">snittlønnen for menn </w:t>
      </w:r>
      <w:r w:rsidR="00B22DCD">
        <w:t xml:space="preserve">11 </w:t>
      </w:r>
      <w:r w:rsidR="00526B72">
        <w:t xml:space="preserve">% </w:t>
      </w:r>
      <w:r w:rsidR="000238FB">
        <w:t>høyer</w:t>
      </w:r>
      <w:r w:rsidR="00587CD5">
        <w:t xml:space="preserve">e enn for kvinner. </w:t>
      </w:r>
      <w:r w:rsidR="006F14D6">
        <w:t xml:space="preserve">Det er betydelige forskjeller i bonusutbetaling der kvinner i snitt får utbetalt 74% mindre enn menn. </w:t>
      </w:r>
      <w:r w:rsidR="00AE2BF2">
        <w:t xml:space="preserve">Dette </w:t>
      </w:r>
      <w:r w:rsidR="00A31CEF">
        <w:t>ser vi kan være begrunnet i at en del spesialiststillinger</w:t>
      </w:r>
      <w:r w:rsidR="00861319">
        <w:t xml:space="preserve"> er </w:t>
      </w:r>
      <w:r w:rsidR="00087088">
        <w:t>besatt</w:t>
      </w:r>
      <w:r w:rsidR="00926915">
        <w:t xml:space="preserve"> av </w:t>
      </w:r>
      <w:r w:rsidR="00FE3E62">
        <w:t xml:space="preserve">relativt høyt lønnede </w:t>
      </w:r>
      <w:r w:rsidR="006F7E42">
        <w:t>m</w:t>
      </w:r>
      <w:r w:rsidR="00404644">
        <w:t>enn med lang fartstid</w:t>
      </w:r>
      <w:r w:rsidR="00602CBF">
        <w:t>/- tidl</w:t>
      </w:r>
      <w:r w:rsidR="00214674">
        <w:t xml:space="preserve">igere </w:t>
      </w:r>
      <w:r w:rsidR="00602CBF">
        <w:t>lederroller</w:t>
      </w:r>
      <w:r w:rsidR="00404644">
        <w:t xml:space="preserve"> </w:t>
      </w:r>
      <w:r w:rsidR="00214674">
        <w:t>i</w:t>
      </w:r>
      <w:r w:rsidR="00404644">
        <w:t xml:space="preserve"> </w:t>
      </w:r>
      <w:r w:rsidR="00214674">
        <w:t>konsernet</w:t>
      </w:r>
      <w:r w:rsidR="008750FE">
        <w:t>,</w:t>
      </w:r>
      <w:r w:rsidR="00D86CDA">
        <w:t xml:space="preserve"> </w:t>
      </w:r>
      <w:r w:rsidR="008750FE">
        <w:t>som er</w:t>
      </w:r>
      <w:r w:rsidR="00D86CDA">
        <w:t xml:space="preserve"> viktig for </w:t>
      </w:r>
      <w:r w:rsidR="00FE3E62">
        <w:t xml:space="preserve">å beholde kritisk kompetanse i </w:t>
      </w:r>
      <w:r w:rsidR="0096347E">
        <w:t>viktige</w:t>
      </w:r>
      <w:r w:rsidR="008A6455">
        <w:t xml:space="preserve"> </w:t>
      </w:r>
      <w:r w:rsidR="00FE3E62">
        <w:t>deler av virksomheten</w:t>
      </w:r>
      <w:r w:rsidR="006F14D6">
        <w:t>.</w:t>
      </w:r>
      <w:r w:rsidR="008D78FE">
        <w:t xml:space="preserve"> I tillegg </w:t>
      </w:r>
      <w:r w:rsidR="001C7420">
        <w:t xml:space="preserve">er det </w:t>
      </w:r>
      <w:r w:rsidR="0096347E">
        <w:t xml:space="preserve">betydelig </w:t>
      </w:r>
      <w:r w:rsidR="001C7420">
        <w:t xml:space="preserve">flere </w:t>
      </w:r>
      <w:r w:rsidR="1EA954BA">
        <w:t>kvinnelige</w:t>
      </w:r>
      <w:r w:rsidR="00264B05">
        <w:t xml:space="preserve"> spesialister</w:t>
      </w:r>
      <w:r w:rsidR="001C7420">
        <w:t xml:space="preserve"> i såkalte støtte</w:t>
      </w:r>
      <w:r w:rsidR="00264B05">
        <w:t xml:space="preserve">funksjoner enn </w:t>
      </w:r>
      <w:r w:rsidR="006D3374">
        <w:t>menn</w:t>
      </w:r>
      <w:r w:rsidR="002F1C3E">
        <w:t>.</w:t>
      </w:r>
      <w:r w:rsidR="00C314AE">
        <w:t xml:space="preserve"> Det kan nevnes at </w:t>
      </w:r>
      <w:r w:rsidR="00AA3C8A">
        <w:t>flere menn i denne kategorien</w:t>
      </w:r>
      <w:r w:rsidR="00C02D0E">
        <w:t xml:space="preserve"> «Spesialistfunksjon» i</w:t>
      </w:r>
      <w:r w:rsidR="00AA3C8A">
        <w:t xml:space="preserve"> 2023 hadde </w:t>
      </w:r>
      <w:r w:rsidR="002712B2">
        <w:t xml:space="preserve">høye </w:t>
      </w:r>
      <w:r w:rsidR="00AA3C8A">
        <w:t xml:space="preserve">bonus utbetalinger sett i forhold til det totale gjennomsnittet. </w:t>
      </w:r>
    </w:p>
    <w:p w14:paraId="612A2267" w14:textId="0A15864B" w:rsidR="000743A0" w:rsidRDefault="00890D4D" w:rsidP="00F864A1">
      <w:pPr>
        <w:jc w:val="both"/>
      </w:pPr>
      <w:r>
        <w:t xml:space="preserve">For stillingskategorien </w:t>
      </w:r>
      <w:r w:rsidR="009A651C" w:rsidRPr="00A56C81">
        <w:rPr>
          <w:b/>
          <w:bCs/>
          <w:i/>
          <w:iCs/>
        </w:rPr>
        <w:t>«Funksjonær»</w:t>
      </w:r>
      <w:r w:rsidR="009A651C">
        <w:t xml:space="preserve">, </w:t>
      </w:r>
      <w:r w:rsidR="000743A0">
        <w:t xml:space="preserve">er </w:t>
      </w:r>
      <w:r w:rsidR="00287C0A">
        <w:t>basislønnen for</w:t>
      </w:r>
      <w:r w:rsidR="00E51399">
        <w:t xml:space="preserve"> </w:t>
      </w:r>
      <w:r w:rsidR="00287C0A">
        <w:t xml:space="preserve">kvinner </w:t>
      </w:r>
      <w:r w:rsidR="00537528">
        <w:t>7</w:t>
      </w:r>
      <w:r w:rsidR="00287C0A">
        <w:t xml:space="preserve"> % lavere enn for menn. </w:t>
      </w:r>
      <w:r w:rsidR="00F6059A">
        <w:t>Ser man på total kompensasjon for denne kategorien</w:t>
      </w:r>
      <w:r w:rsidR="006625A7">
        <w:t xml:space="preserve"> </w:t>
      </w:r>
      <w:r w:rsidR="00F6059A">
        <w:t xml:space="preserve">er forskjellen </w:t>
      </w:r>
      <w:r w:rsidR="00131B3D">
        <w:t xml:space="preserve">noe </w:t>
      </w:r>
      <w:r w:rsidR="00537528">
        <w:t>st</w:t>
      </w:r>
      <w:r w:rsidR="00F773E3">
        <w:t>ørre</w:t>
      </w:r>
      <w:r w:rsidR="00E51399">
        <w:t xml:space="preserve"> </w:t>
      </w:r>
      <w:r w:rsidR="009E43C2">
        <w:t>(</w:t>
      </w:r>
      <w:r w:rsidR="00584025">
        <w:t>-</w:t>
      </w:r>
      <w:r w:rsidR="00447987">
        <w:t>1</w:t>
      </w:r>
      <w:r w:rsidR="009E076F">
        <w:t>5</w:t>
      </w:r>
      <w:r w:rsidR="00102410">
        <w:t xml:space="preserve"> </w:t>
      </w:r>
      <w:r w:rsidR="00584025">
        <w:t>%).</w:t>
      </w:r>
      <w:r w:rsidR="00F773E3">
        <w:t xml:space="preserve"> Den </w:t>
      </w:r>
      <w:r w:rsidR="00A56C81">
        <w:t>vesentlig</w:t>
      </w:r>
      <w:r w:rsidR="00F773E3">
        <w:t xml:space="preserve">ste faktoren her er at </w:t>
      </w:r>
      <w:r w:rsidR="00507F3E">
        <w:t xml:space="preserve">menn i denne kategorien får </w:t>
      </w:r>
      <w:r w:rsidR="00A56C81">
        <w:t>høy</w:t>
      </w:r>
      <w:r w:rsidR="006E56CD">
        <w:t>e</w:t>
      </w:r>
      <w:r w:rsidR="00A56C81">
        <w:t xml:space="preserve">re bonusutbetalinger </w:t>
      </w:r>
      <w:r w:rsidR="00507F3E">
        <w:t>enn kvinner</w:t>
      </w:r>
      <w:r w:rsidR="00A56C81">
        <w:t xml:space="preserve"> </w:t>
      </w:r>
      <w:r w:rsidR="006E56CD">
        <w:t xml:space="preserve">i </w:t>
      </w:r>
      <w:r w:rsidR="00A56C81">
        <w:t>kategorien.</w:t>
      </w:r>
      <w:r w:rsidR="00F900EE">
        <w:t xml:space="preserve"> </w:t>
      </w:r>
      <w:r w:rsidR="0069665B">
        <w:t xml:space="preserve">Kvinnelige funksjonærer </w:t>
      </w:r>
      <w:r w:rsidR="00F900EE">
        <w:t>får</w:t>
      </w:r>
      <w:r w:rsidR="006E56CD">
        <w:t xml:space="preserve"> i snitt</w:t>
      </w:r>
      <w:r w:rsidR="00F900EE">
        <w:t xml:space="preserve"> utbetalt </w:t>
      </w:r>
      <w:r w:rsidR="00393C42">
        <w:t>26</w:t>
      </w:r>
      <w:r w:rsidR="00F900EE">
        <w:t>% mindre</w:t>
      </w:r>
      <w:r w:rsidR="006E56CD">
        <w:t xml:space="preserve"> i bonus</w:t>
      </w:r>
      <w:r w:rsidR="00F900EE">
        <w:t xml:space="preserve"> enn menn</w:t>
      </w:r>
      <w:r w:rsidR="006E56CD">
        <w:t xml:space="preserve">. </w:t>
      </w:r>
      <w:r w:rsidR="00F900EE">
        <w:t xml:space="preserve">Dette ser vi kan være begrunnet i at </w:t>
      </w:r>
      <w:r w:rsidR="00393C42">
        <w:t xml:space="preserve">det </w:t>
      </w:r>
      <w:r w:rsidR="00F900EE">
        <w:t xml:space="preserve">er flere kvinnelige </w:t>
      </w:r>
      <w:r w:rsidR="00013733">
        <w:t>funksjonærer</w:t>
      </w:r>
      <w:r w:rsidR="00F900EE">
        <w:t xml:space="preserve"> i såkalte </w:t>
      </w:r>
      <w:r w:rsidR="002E6E6C">
        <w:t xml:space="preserve">lavere </w:t>
      </w:r>
      <w:r w:rsidR="00336097">
        <w:t>lønnede</w:t>
      </w:r>
      <w:r w:rsidR="002E6E6C">
        <w:t xml:space="preserve"> funksj</w:t>
      </w:r>
      <w:r w:rsidR="00336097">
        <w:t>on</w:t>
      </w:r>
      <w:r w:rsidR="002E6E6C">
        <w:t xml:space="preserve">ærstillinger </w:t>
      </w:r>
      <w:r w:rsidR="00F900EE">
        <w:t xml:space="preserve">enn </w:t>
      </w:r>
      <w:r w:rsidR="006E56CD">
        <w:t xml:space="preserve">det er </w:t>
      </w:r>
      <w:r w:rsidR="00F900EE">
        <w:t>menn.</w:t>
      </w:r>
      <w:r w:rsidR="00525C3D">
        <w:t xml:space="preserve"> Det er også vært å merke seg at </w:t>
      </w:r>
      <w:r w:rsidR="00035D81">
        <w:t xml:space="preserve">det her også var flere menn som hadde </w:t>
      </w:r>
      <w:r w:rsidR="006E56CD">
        <w:t xml:space="preserve">relativt høye </w:t>
      </w:r>
      <w:r w:rsidR="00035D81">
        <w:t xml:space="preserve">bonus utbetalinger </w:t>
      </w:r>
      <w:r w:rsidR="00D2422C">
        <w:t xml:space="preserve">for kategorien </w:t>
      </w:r>
      <w:r w:rsidR="00035D81">
        <w:t xml:space="preserve">som drar </w:t>
      </w:r>
      <w:r w:rsidR="0069665B">
        <w:t xml:space="preserve">gjennomsnittet opp og er med på </w:t>
      </w:r>
      <w:r w:rsidR="00FC6CBB">
        <w:t>å utgjøre</w:t>
      </w:r>
      <w:r w:rsidR="0069665B">
        <w:t xml:space="preserve"> forskjellene. </w:t>
      </w:r>
    </w:p>
    <w:p w14:paraId="60D0247B" w14:textId="24C4750A" w:rsidR="00A56C81" w:rsidRDefault="6C8AF873" w:rsidP="00F864A1">
      <w:pPr>
        <w:jc w:val="both"/>
      </w:pPr>
      <w:r>
        <w:t xml:space="preserve">For stillingskategorien </w:t>
      </w:r>
      <w:r w:rsidRPr="2C81BD9D">
        <w:rPr>
          <w:b/>
          <w:bCs/>
          <w:i/>
          <w:iCs/>
        </w:rPr>
        <w:t>«Salg/marked»,</w:t>
      </w:r>
      <w:r>
        <w:t xml:space="preserve"> er basislønnen for</w:t>
      </w:r>
      <w:r w:rsidR="7E398880">
        <w:t xml:space="preserve"> </w:t>
      </w:r>
      <w:r>
        <w:t xml:space="preserve">kvinner </w:t>
      </w:r>
      <w:r w:rsidR="21D6D0FB">
        <w:t>20</w:t>
      </w:r>
      <w:r>
        <w:t xml:space="preserve"> % lavere enn for menn. Ser man på total kompensasjon for denne kategorien er forskjellen </w:t>
      </w:r>
      <w:r w:rsidR="0F90B0A2">
        <w:t xml:space="preserve">noe </w:t>
      </w:r>
      <w:r>
        <w:t>større</w:t>
      </w:r>
      <w:r w:rsidR="21D6D0FB">
        <w:t xml:space="preserve"> </w:t>
      </w:r>
      <w:r>
        <w:t>(-</w:t>
      </w:r>
      <w:r w:rsidR="21D6D0FB">
        <w:t>26</w:t>
      </w:r>
      <w:r>
        <w:t xml:space="preserve"> %). </w:t>
      </w:r>
      <w:r w:rsidR="00A660BB">
        <w:t xml:space="preserve">Forskjellene </w:t>
      </w:r>
      <w:r w:rsidR="00893F61">
        <w:t>er</w:t>
      </w:r>
      <w:r w:rsidR="00085D75">
        <w:t xml:space="preserve"> </w:t>
      </w:r>
      <w:r w:rsidR="00B57AA0">
        <w:t>begrunnet i at det i denne kategorien er en del stillinger besatt av</w:t>
      </w:r>
      <w:r w:rsidR="00085D75">
        <w:t xml:space="preserve"> relativt høyt lønnede menn</w:t>
      </w:r>
      <w:r w:rsidR="004B107F">
        <w:t xml:space="preserve"> med lang ansiennitet. I tillegg kan det nevnes at det er flere menn innenfor Salg/marked som har </w:t>
      </w:r>
      <w:r w:rsidR="006E56CD">
        <w:t xml:space="preserve">de </w:t>
      </w:r>
      <w:r w:rsidR="00097BC5">
        <w:t>høyere stilling</w:t>
      </w:r>
      <w:r w:rsidR="006E56CD">
        <w:t>ene</w:t>
      </w:r>
      <w:r w:rsidR="00097BC5">
        <w:t xml:space="preserve"> </w:t>
      </w:r>
      <w:r w:rsidR="000E5A01">
        <w:t xml:space="preserve">med høy fastlønn </w:t>
      </w:r>
      <w:r w:rsidR="00097BC5">
        <w:t>enn kvinner (eks. Salgs direktør, Salgs sjef.)</w:t>
      </w:r>
      <w:r w:rsidR="005E487E">
        <w:t xml:space="preserve"> </w:t>
      </w:r>
      <w:r w:rsidR="004D0140">
        <w:t xml:space="preserve">Denne sammenhengen </w:t>
      </w:r>
      <w:proofErr w:type="spellStart"/>
      <w:r w:rsidR="000877A5">
        <w:t>ift</w:t>
      </w:r>
      <w:proofErr w:type="spellEnd"/>
      <w:r w:rsidR="000877A5">
        <w:t xml:space="preserve"> senioritet/stillingsnivå </w:t>
      </w:r>
      <w:r w:rsidR="00893F61">
        <w:t xml:space="preserve">gjør seg også gjeldende når en ser på </w:t>
      </w:r>
      <w:r w:rsidR="00336097">
        <w:t>bonus</w:t>
      </w:r>
      <w:r w:rsidR="00146332">
        <w:t xml:space="preserve"> </w:t>
      </w:r>
      <w:r w:rsidR="001B694B">
        <w:t>utbetalingene</w:t>
      </w:r>
      <w:r w:rsidR="00146332">
        <w:t xml:space="preserve"> i denne </w:t>
      </w:r>
      <w:r w:rsidR="003F4405">
        <w:t>stillingskateg</w:t>
      </w:r>
      <w:r w:rsidR="0041290B">
        <w:t xml:space="preserve">orien. Kvinner innen Salg/Marked får i snitt 74 % mindre </w:t>
      </w:r>
      <w:r w:rsidR="004D42DF">
        <w:t xml:space="preserve">bonus </w:t>
      </w:r>
      <w:r w:rsidR="004501B5">
        <w:t xml:space="preserve">utbetalt enn menn. Det er også verdt å merke seg at det </w:t>
      </w:r>
      <w:r w:rsidR="005861EE">
        <w:t xml:space="preserve">er noen mannlige ledere </w:t>
      </w:r>
      <w:r w:rsidR="00944F34">
        <w:t>i denne</w:t>
      </w:r>
      <w:r w:rsidR="00862DA0">
        <w:t xml:space="preserve"> </w:t>
      </w:r>
      <w:r w:rsidR="00944F34">
        <w:t>gruppen</w:t>
      </w:r>
      <w:r w:rsidR="00862DA0">
        <w:t xml:space="preserve"> </w:t>
      </w:r>
      <w:r w:rsidR="005861EE">
        <w:t xml:space="preserve">som har fått utbetalt </w:t>
      </w:r>
      <w:r w:rsidR="00A609BC">
        <w:t xml:space="preserve">høye bonuser i 2023, langt over det totale gjennomsnittet. </w:t>
      </w:r>
    </w:p>
    <w:p w14:paraId="500DBA8D" w14:textId="5193A42D" w:rsidR="005D5C59" w:rsidRDefault="00447987" w:rsidP="00F864A1">
      <w:pPr>
        <w:jc w:val="both"/>
      </w:pPr>
      <w:r>
        <w:t xml:space="preserve">I kategorien </w:t>
      </w:r>
      <w:r w:rsidR="009A651C" w:rsidRPr="00C2009F">
        <w:rPr>
          <w:b/>
          <w:bCs/>
          <w:i/>
          <w:iCs/>
        </w:rPr>
        <w:t>«Operativ»</w:t>
      </w:r>
      <w:r w:rsidR="009A651C">
        <w:t xml:space="preserve"> er gjennomsnittslønn</w:t>
      </w:r>
      <w:r w:rsidR="00890D4D">
        <w:t>en</w:t>
      </w:r>
      <w:r w:rsidR="009A651C">
        <w:t xml:space="preserve"> </w:t>
      </w:r>
      <w:r w:rsidR="00C2009F">
        <w:t xml:space="preserve">19 % </w:t>
      </w:r>
      <w:r w:rsidR="00844CAB">
        <w:t>lavere for kvinner</w:t>
      </w:r>
      <w:r w:rsidR="00890D4D">
        <w:t xml:space="preserve"> enn for</w:t>
      </w:r>
      <w:r w:rsidR="009A651C">
        <w:t xml:space="preserve"> menn. </w:t>
      </w:r>
      <w:r w:rsidR="00C2009F">
        <w:t>Ser man på total kompensasjon for denne kategorien er forskjellen noe mindre (-13 %).</w:t>
      </w:r>
      <w:r w:rsidR="00E34955">
        <w:t xml:space="preserve"> </w:t>
      </w:r>
      <w:r w:rsidR="00A83C97">
        <w:t>Dette har en viss sammenheng med overtidstillegg</w:t>
      </w:r>
      <w:r w:rsidR="00F56B02">
        <w:t xml:space="preserve"> som oftere tilfaller menn</w:t>
      </w:r>
      <w:r w:rsidR="00461133">
        <w:t xml:space="preserve"> i de stillingskategorier som «Operativ». </w:t>
      </w:r>
      <w:r w:rsidR="00C2009F">
        <w:t>flere d</w:t>
      </w:r>
      <w:r w:rsidR="001C3D0A">
        <w:t>eltidsansatte kvinner i denne kategorien disse har da lønn i forhold til stillings</w:t>
      </w:r>
      <w:r w:rsidR="00967209">
        <w:t>prosent</w:t>
      </w:r>
      <w:r w:rsidR="001C3D0A">
        <w:t xml:space="preserve"> og i et relativt lite utvalg </w:t>
      </w:r>
      <w:r w:rsidR="00583E1A">
        <w:t>(4%)</w:t>
      </w:r>
      <w:r w:rsidR="00B95F6D">
        <w:t xml:space="preserve"> </w:t>
      </w:r>
      <w:r w:rsidR="001C3D0A">
        <w:t xml:space="preserve">vil dette ha stor </w:t>
      </w:r>
      <w:r w:rsidR="00967209">
        <w:t>innvirkning</w:t>
      </w:r>
      <w:r w:rsidR="001C3D0A">
        <w:t xml:space="preserve"> på gjennomsnittslønnen</w:t>
      </w:r>
      <w:r w:rsidR="005D5C59">
        <w:t>.</w:t>
      </w:r>
      <w:r w:rsidR="000877A5">
        <w:t xml:space="preserve"> </w:t>
      </w:r>
      <w:r w:rsidR="005D5C59">
        <w:t xml:space="preserve">I forhold til bonus </w:t>
      </w:r>
      <w:r w:rsidR="000D2E92">
        <w:t>får kvinner i denne kategorien</w:t>
      </w:r>
      <w:r w:rsidR="001B694B">
        <w:t xml:space="preserve"> i snitt 39 % mindre utbetalt i bonus enn sine mannlige kolle</w:t>
      </w:r>
      <w:r w:rsidR="009821D0">
        <w:t xml:space="preserve">gaer. </w:t>
      </w:r>
      <w:r w:rsidR="0064368A">
        <w:t>At det er relativ</w:t>
      </w:r>
      <w:r w:rsidR="00CD3F36">
        <w:t>t</w:t>
      </w:r>
      <w:r w:rsidR="0064368A">
        <w:t xml:space="preserve"> få kvinner og </w:t>
      </w:r>
      <w:r w:rsidR="00613221">
        <w:t xml:space="preserve">noen av disse i tillegg har deltidsstilling </w:t>
      </w:r>
      <w:r w:rsidR="000877A5">
        <w:t>bidrar sterkt til denne</w:t>
      </w:r>
      <w:r w:rsidR="009975FD">
        <w:t xml:space="preserve"> forskjellen.</w:t>
      </w:r>
      <w:r w:rsidR="00613221">
        <w:t xml:space="preserve"> </w:t>
      </w:r>
    </w:p>
    <w:p w14:paraId="61CF4004" w14:textId="77777777" w:rsidR="007B2768" w:rsidRDefault="007B2768">
      <w:pPr>
        <w:spacing w:before="0" w:after="120" w:line="312" w:lineRule="auto"/>
      </w:pPr>
    </w:p>
    <w:p w14:paraId="78404AC0" w14:textId="7E1409F7" w:rsidR="00986701" w:rsidRDefault="00986701">
      <w:pPr>
        <w:spacing w:before="0" w:after="120" w:line="312" w:lineRule="auto"/>
      </w:pPr>
      <w:r>
        <w:br w:type="page"/>
      </w:r>
    </w:p>
    <w:p w14:paraId="6DBCE936" w14:textId="77777777" w:rsidR="00E35D45" w:rsidRDefault="00E35D45" w:rsidP="00F864A1">
      <w:pPr>
        <w:jc w:val="both"/>
      </w:pPr>
    </w:p>
    <w:p w14:paraId="55C1BF6A" w14:textId="329C7483" w:rsidR="00A229E6" w:rsidRPr="00E35D45" w:rsidRDefault="00C806EE" w:rsidP="00E35D45">
      <w:pPr>
        <w:pStyle w:val="Overskrift2"/>
        <w:jc w:val="both"/>
      </w:pPr>
      <w:r>
        <w:t>NG</w:t>
      </w:r>
      <w:r w:rsidR="00977E48">
        <w:t>-konsernets</w:t>
      </w:r>
      <w:r>
        <w:t xml:space="preserve"> </w:t>
      </w:r>
      <w:r w:rsidR="00DE25DC">
        <w:t>arbeid for likestilling og mot diskriminering</w:t>
      </w:r>
    </w:p>
    <w:p w14:paraId="32DFD9D5" w14:textId="77777777" w:rsidR="00DE25DC" w:rsidRPr="00B82037" w:rsidRDefault="00DE25DC" w:rsidP="00F864A1">
      <w:pPr>
        <w:pStyle w:val="Overskrift3"/>
        <w:jc w:val="both"/>
      </w:pPr>
      <w:r w:rsidRPr="00B82037">
        <w:t>Prinsipper, prosedyrer og standarder for likestilling og mot diskriminering</w:t>
      </w:r>
    </w:p>
    <w:p w14:paraId="4449911D" w14:textId="77777777" w:rsidR="00037A91" w:rsidRDefault="00037A91" w:rsidP="00F864A1">
      <w:pPr>
        <w:spacing w:before="0"/>
        <w:contextualSpacing/>
        <w:jc w:val="both"/>
        <w:rPr>
          <w:color w:val="auto"/>
        </w:rPr>
      </w:pPr>
    </w:p>
    <w:p w14:paraId="5A9BDDDD" w14:textId="00D69CCA" w:rsidR="00D131FE" w:rsidRPr="00EC1A63" w:rsidRDefault="00D131FE" w:rsidP="00F864A1">
      <w:pPr>
        <w:spacing w:before="0"/>
        <w:contextualSpacing/>
        <w:jc w:val="both"/>
        <w:rPr>
          <w:color w:val="auto"/>
        </w:rPr>
      </w:pPr>
      <w:r w:rsidRPr="00EC1A63">
        <w:rPr>
          <w:color w:val="auto"/>
        </w:rPr>
        <w:t xml:space="preserve">Det er viktig at konsernets organisasjon og forretningsvirksomhet gjenspeiler kundene og markedet </w:t>
      </w:r>
      <w:r w:rsidR="00977E48">
        <w:rPr>
          <w:color w:val="auto"/>
        </w:rPr>
        <w:t>det</w:t>
      </w:r>
      <w:r w:rsidR="00977E48" w:rsidRPr="00EC1A63">
        <w:rPr>
          <w:color w:val="auto"/>
        </w:rPr>
        <w:t xml:space="preserve"> operere</w:t>
      </w:r>
      <w:r w:rsidR="00977E48">
        <w:rPr>
          <w:color w:val="auto"/>
        </w:rPr>
        <w:t>s</w:t>
      </w:r>
      <w:r w:rsidR="00977E48" w:rsidRPr="00EC1A63">
        <w:rPr>
          <w:color w:val="auto"/>
        </w:rPr>
        <w:t xml:space="preserve"> </w:t>
      </w:r>
      <w:r w:rsidRPr="00EC1A63">
        <w:rPr>
          <w:color w:val="auto"/>
        </w:rPr>
        <w:t xml:space="preserve">i. Konsernet har som mål å være en god arbeidsplass for alle, uavhengig av bakgrunn, og jobber for å ha en mangfoldig og inkluderende arbeidskultur. Alle medarbeidere skal behandles likeverdig, uavhengig av alder, kjønn, funksjonshemming, kulturell bakgrunn, religiøs tro eller seksuell orientering, både i rekrutteringsprosesser og gjennom arbeidsforholdet. </w:t>
      </w:r>
    </w:p>
    <w:p w14:paraId="6AF26E32" w14:textId="77777777" w:rsidR="00D131FE" w:rsidRPr="00EC1A63" w:rsidRDefault="00D131FE" w:rsidP="00F864A1">
      <w:pPr>
        <w:spacing w:before="0"/>
        <w:contextualSpacing/>
        <w:jc w:val="both"/>
        <w:rPr>
          <w:color w:val="auto"/>
        </w:rPr>
      </w:pPr>
    </w:p>
    <w:p w14:paraId="56E26526" w14:textId="15D9FDFF" w:rsidR="005730E1" w:rsidRDefault="00BB5297" w:rsidP="00F864A1">
      <w:pPr>
        <w:spacing w:before="0"/>
        <w:contextualSpacing/>
        <w:jc w:val="both"/>
        <w:rPr>
          <w:color w:val="auto"/>
        </w:rPr>
      </w:pPr>
      <w:r>
        <w:rPr>
          <w:color w:val="auto"/>
        </w:rPr>
        <w:t>Konsernet</w:t>
      </w:r>
      <w:r w:rsidR="00D131FE" w:rsidRPr="00EC1A63">
        <w:rPr>
          <w:color w:val="auto"/>
        </w:rPr>
        <w:t xml:space="preserve"> har nulltoleranse for trakassering og diskriminering. Konsernet arbeider aktivt og målrettet for å fremme likestillingslovens formål. Aktivitetene omfatter blant annet rekruttering, lønns- og arbeidsvilkår, forfremmelse, tilrettelegging, mulighet for å kombinere arbeid og familieliv, utviklingsmuligheter og beskyttelse mot trakassering.</w:t>
      </w:r>
    </w:p>
    <w:p w14:paraId="13FEF8AB" w14:textId="77777777" w:rsidR="00964AC5" w:rsidRDefault="00964AC5" w:rsidP="00F864A1">
      <w:pPr>
        <w:spacing w:before="0"/>
        <w:contextualSpacing/>
        <w:jc w:val="both"/>
        <w:rPr>
          <w:b/>
          <w:bCs/>
          <w:i/>
          <w:iCs/>
          <w:color w:val="767171" w:themeColor="background2" w:themeShade="80"/>
        </w:rPr>
      </w:pPr>
    </w:p>
    <w:p w14:paraId="34E0C9D4" w14:textId="1B59F824" w:rsidR="00964AC5" w:rsidRPr="005E3E33" w:rsidRDefault="00977E48" w:rsidP="00F864A1">
      <w:pPr>
        <w:pStyle w:val="Overskrift4"/>
        <w:jc w:val="both"/>
      </w:pPr>
      <w:r w:rsidRPr="005E3E33">
        <w:t xml:space="preserve">NG-konsernets </w:t>
      </w:r>
      <w:r w:rsidR="00964AC5" w:rsidRPr="005E3E33">
        <w:t>prinsipper, prosedyrer og standarder</w:t>
      </w:r>
    </w:p>
    <w:p w14:paraId="2EAB928C" w14:textId="61D289C5" w:rsidR="00964AC5" w:rsidRPr="006E06C2" w:rsidRDefault="00977E48" w:rsidP="00F864A1">
      <w:pPr>
        <w:pStyle w:val="Listeavsnitt"/>
        <w:numPr>
          <w:ilvl w:val="0"/>
          <w:numId w:val="7"/>
        </w:numPr>
        <w:spacing w:before="0"/>
        <w:jc w:val="both"/>
        <w:rPr>
          <w:b/>
          <w:bCs/>
          <w:color w:val="auto"/>
        </w:rPr>
      </w:pPr>
      <w:r>
        <w:rPr>
          <w:color w:val="auto"/>
        </w:rPr>
        <w:t>L</w:t>
      </w:r>
      <w:r w:rsidR="00964AC5" w:rsidRPr="006E06C2">
        <w:rPr>
          <w:color w:val="auto"/>
        </w:rPr>
        <w:t xml:space="preserve">ikestillingsarbeid er forankret i </w:t>
      </w:r>
      <w:r w:rsidR="00C20ADC" w:rsidRPr="006E06C2">
        <w:rPr>
          <w:color w:val="auto"/>
        </w:rPr>
        <w:t>v</w:t>
      </w:r>
      <w:r w:rsidR="00964AC5" w:rsidRPr="006E06C2">
        <w:rPr>
          <w:color w:val="auto"/>
        </w:rPr>
        <w:t>irksomhetens ulike strategier, verktøy og retningslinjer</w:t>
      </w:r>
      <w:r w:rsidR="00395E70">
        <w:rPr>
          <w:color w:val="auto"/>
        </w:rPr>
        <w:t>.</w:t>
      </w:r>
    </w:p>
    <w:p w14:paraId="406907DF" w14:textId="7D444388" w:rsidR="006E06C2" w:rsidRPr="00395E70" w:rsidRDefault="008500DD" w:rsidP="00F864A1">
      <w:pPr>
        <w:pStyle w:val="Listeavsnitt"/>
        <w:numPr>
          <w:ilvl w:val="0"/>
          <w:numId w:val="7"/>
        </w:numPr>
        <w:spacing w:before="0"/>
        <w:jc w:val="both"/>
        <w:rPr>
          <w:color w:val="auto"/>
        </w:rPr>
      </w:pPr>
      <w:r w:rsidRPr="006E06C2">
        <w:rPr>
          <w:color w:val="auto"/>
        </w:rPr>
        <w:t xml:space="preserve">Kjøreregler for ansatte i </w:t>
      </w:r>
      <w:r w:rsidR="00D51B80">
        <w:rPr>
          <w:color w:val="auto"/>
        </w:rPr>
        <w:t>NG</w:t>
      </w:r>
      <w:r w:rsidRPr="006E06C2">
        <w:rPr>
          <w:color w:val="auto"/>
        </w:rPr>
        <w:t xml:space="preserve">-konsernet </w:t>
      </w:r>
      <w:r w:rsidR="00352888" w:rsidRPr="006E06C2">
        <w:rPr>
          <w:color w:val="auto"/>
        </w:rPr>
        <w:t>stiller krav til personlig adferd</w:t>
      </w:r>
      <w:r w:rsidR="006E06C2" w:rsidRPr="006E06C2">
        <w:rPr>
          <w:color w:val="auto"/>
        </w:rPr>
        <w:t xml:space="preserve"> og viser nulltoleranse for diskriminering eller trakassering på arbeidsplassen.</w:t>
      </w:r>
    </w:p>
    <w:p w14:paraId="386C5615" w14:textId="48CDD465" w:rsidR="00964AC5" w:rsidRPr="00336A0E" w:rsidRDefault="00977E48" w:rsidP="00F864A1">
      <w:pPr>
        <w:pStyle w:val="Listeavsnitt"/>
        <w:numPr>
          <w:ilvl w:val="0"/>
          <w:numId w:val="7"/>
        </w:numPr>
        <w:spacing w:before="0"/>
        <w:jc w:val="both"/>
        <w:rPr>
          <w:color w:val="auto"/>
        </w:rPr>
      </w:pPr>
      <w:r>
        <w:rPr>
          <w:color w:val="auto"/>
        </w:rPr>
        <w:t>Et</w:t>
      </w:r>
      <w:r w:rsidR="00395E70" w:rsidRPr="00336A0E">
        <w:rPr>
          <w:color w:val="auto"/>
        </w:rPr>
        <w:t xml:space="preserve"> varslingssystem </w:t>
      </w:r>
      <w:r>
        <w:rPr>
          <w:color w:val="auto"/>
        </w:rPr>
        <w:t>sikrer at</w:t>
      </w:r>
      <w:r w:rsidR="00395E70" w:rsidRPr="00336A0E">
        <w:rPr>
          <w:color w:val="auto"/>
        </w:rPr>
        <w:t xml:space="preserve"> interne og eksterne interessenter kan varsle om</w:t>
      </w:r>
      <w:r w:rsidR="00964AC5" w:rsidRPr="00336A0E">
        <w:rPr>
          <w:color w:val="auto"/>
        </w:rPr>
        <w:t xml:space="preserve"> diskriminering, trakassering, seksuell trakassering og kjønnsbasert vold</w:t>
      </w:r>
      <w:r w:rsidR="00395E70" w:rsidRPr="00336A0E">
        <w:rPr>
          <w:color w:val="auto"/>
        </w:rPr>
        <w:t xml:space="preserve">. </w:t>
      </w:r>
    </w:p>
    <w:p w14:paraId="2F2F280A" w14:textId="320DCA01" w:rsidR="00964AC5" w:rsidRPr="00395E70" w:rsidRDefault="00964AC5" w:rsidP="00F864A1">
      <w:pPr>
        <w:pStyle w:val="Listeavsnitt"/>
        <w:numPr>
          <w:ilvl w:val="0"/>
          <w:numId w:val="7"/>
        </w:numPr>
        <w:spacing w:before="0"/>
        <w:jc w:val="both"/>
        <w:rPr>
          <w:b/>
          <w:bCs/>
          <w:color w:val="auto"/>
        </w:rPr>
      </w:pPr>
      <w:r w:rsidRPr="00395E70">
        <w:rPr>
          <w:color w:val="auto"/>
        </w:rPr>
        <w:t>Hensynet til likestilling og ikke-diskriminering er inkludert i den øvrige personalpolitikken.</w:t>
      </w:r>
    </w:p>
    <w:p w14:paraId="22D4822D" w14:textId="77777777" w:rsidR="00EC1A63" w:rsidRPr="00BA6E27" w:rsidRDefault="00EC1A63" w:rsidP="00F864A1">
      <w:pPr>
        <w:spacing w:before="0"/>
        <w:contextualSpacing/>
        <w:jc w:val="both"/>
        <w:rPr>
          <w:color w:val="auto"/>
        </w:rPr>
      </w:pPr>
    </w:p>
    <w:p w14:paraId="39933EC7" w14:textId="0D76A65B" w:rsidR="00DE25DC" w:rsidRPr="00B7127C" w:rsidRDefault="006061D9" w:rsidP="00F864A1">
      <w:pPr>
        <w:spacing w:before="0"/>
        <w:contextualSpacing/>
        <w:jc w:val="both"/>
        <w:rPr>
          <w:b/>
          <w:bCs/>
          <w:i/>
          <w:iCs/>
          <w:color w:val="767171" w:themeColor="background2" w:themeShade="80"/>
        </w:rPr>
      </w:pPr>
      <w:r>
        <w:rPr>
          <w:color w:val="auto"/>
        </w:rPr>
        <w:t xml:space="preserve">NG konsernet </w:t>
      </w:r>
      <w:r w:rsidR="00333BE3">
        <w:rPr>
          <w:color w:val="auto"/>
        </w:rPr>
        <w:t>hadde v</w:t>
      </w:r>
      <w:r w:rsidR="00E91B5E" w:rsidRPr="0010050D">
        <w:rPr>
          <w:color w:val="auto"/>
        </w:rPr>
        <w:t xml:space="preserve">ed utgangen av </w:t>
      </w:r>
      <w:r w:rsidR="00330CF2" w:rsidRPr="0010050D">
        <w:rPr>
          <w:color w:val="auto"/>
        </w:rPr>
        <w:t>20</w:t>
      </w:r>
      <w:r w:rsidR="00FE4AA8">
        <w:rPr>
          <w:color w:val="auto"/>
        </w:rPr>
        <w:t>23</w:t>
      </w:r>
      <w:r w:rsidR="00E91B5E" w:rsidRPr="0010050D">
        <w:rPr>
          <w:color w:val="auto"/>
        </w:rPr>
        <w:t xml:space="preserve"> medarbeidere som representerer </w:t>
      </w:r>
      <w:r w:rsidR="00333BE3">
        <w:rPr>
          <w:color w:val="auto"/>
        </w:rPr>
        <w:t xml:space="preserve">totalt </w:t>
      </w:r>
      <w:r w:rsidR="00FE4AA8">
        <w:rPr>
          <w:color w:val="auto"/>
        </w:rPr>
        <w:t>45</w:t>
      </w:r>
      <w:r w:rsidR="00E91B5E" w:rsidRPr="0010050D">
        <w:rPr>
          <w:color w:val="auto"/>
        </w:rPr>
        <w:t xml:space="preserve"> ulike nasjonaliteter</w:t>
      </w:r>
      <w:r w:rsidR="00FE4AA8">
        <w:rPr>
          <w:color w:val="auto"/>
        </w:rPr>
        <w:t xml:space="preserve">, inkludert </w:t>
      </w:r>
      <w:r w:rsidR="00422EA9">
        <w:rPr>
          <w:color w:val="auto"/>
        </w:rPr>
        <w:t>selskaper utenfor Norge</w:t>
      </w:r>
      <w:r w:rsidR="00E91B5E" w:rsidRPr="0010050D">
        <w:rPr>
          <w:color w:val="auto"/>
        </w:rPr>
        <w:t>. Selskapet jobber aktivt med integrering gjennom involvering, språkopplæring, kulturforståelse og tilrettelegging.</w:t>
      </w:r>
      <w:r w:rsidR="00D10A15" w:rsidRPr="0010050D">
        <w:rPr>
          <w:b/>
          <w:bCs/>
          <w:color w:val="767171" w:themeColor="background2" w:themeShade="80"/>
        </w:rPr>
        <w:br/>
      </w:r>
    </w:p>
    <w:p w14:paraId="57336AEA" w14:textId="3A629F0B" w:rsidR="00CA6616" w:rsidRPr="005E3E33" w:rsidRDefault="00B07D46" w:rsidP="00F864A1">
      <w:pPr>
        <w:pStyle w:val="Overskrift4"/>
        <w:jc w:val="both"/>
      </w:pPr>
      <w:r w:rsidRPr="005E3E33">
        <w:t>G</w:t>
      </w:r>
      <w:r w:rsidR="00F74458" w:rsidRPr="005E3E33">
        <w:t xml:space="preserve">jennomføring av </w:t>
      </w:r>
      <w:r w:rsidR="00D4686B" w:rsidRPr="005E3E33">
        <w:t>likestillingsarbeid i NG</w:t>
      </w:r>
      <w:r w:rsidR="00F74458" w:rsidRPr="005E3E33">
        <w:t>-konsernet</w:t>
      </w:r>
    </w:p>
    <w:p w14:paraId="4165D75E" w14:textId="0E566360" w:rsidR="00712383" w:rsidRDefault="00394695" w:rsidP="00F864A1">
      <w:pPr>
        <w:spacing w:before="0"/>
        <w:jc w:val="both"/>
        <w:rPr>
          <w:color w:val="auto"/>
          <w:highlight w:val="yellow"/>
        </w:rPr>
      </w:pPr>
      <w:r w:rsidRPr="00E76FFD">
        <w:rPr>
          <w:color w:val="auto"/>
        </w:rPr>
        <w:t>Likestillingsarbeidet</w:t>
      </w:r>
      <w:r w:rsidR="00333BE3" w:rsidRPr="00E76FFD">
        <w:rPr>
          <w:color w:val="auto"/>
        </w:rPr>
        <w:t xml:space="preserve"> i NG-konsernet</w:t>
      </w:r>
      <w:r w:rsidR="005738DF" w:rsidRPr="00E76FFD">
        <w:rPr>
          <w:color w:val="auto"/>
        </w:rPr>
        <w:t xml:space="preserve"> er</w:t>
      </w:r>
      <w:r w:rsidR="00333BE3" w:rsidRPr="00E76FFD">
        <w:rPr>
          <w:color w:val="auto"/>
        </w:rPr>
        <w:t xml:space="preserve"> et</w:t>
      </w:r>
      <w:r w:rsidR="005738DF" w:rsidRPr="00E76FFD">
        <w:rPr>
          <w:color w:val="auto"/>
        </w:rPr>
        <w:t xml:space="preserve"> </w:t>
      </w:r>
      <w:r w:rsidR="00707387" w:rsidRPr="00E76FFD">
        <w:rPr>
          <w:color w:val="auto"/>
        </w:rPr>
        <w:t>ansvar tillagt stillinger med personalansvar</w:t>
      </w:r>
      <w:r w:rsidR="005738DF" w:rsidRPr="00E76FFD">
        <w:rPr>
          <w:color w:val="auto"/>
        </w:rPr>
        <w:t xml:space="preserve"> og ivaretas av de ulike selskapene</w:t>
      </w:r>
      <w:r w:rsidR="00F74458" w:rsidRPr="00E76FFD">
        <w:rPr>
          <w:color w:val="auto"/>
        </w:rPr>
        <w:t xml:space="preserve"> i NG-konsernet</w:t>
      </w:r>
      <w:r w:rsidR="00DA4EB4" w:rsidRPr="00E76FFD">
        <w:rPr>
          <w:color w:val="auto"/>
        </w:rPr>
        <w:t>.</w:t>
      </w:r>
      <w:r w:rsidR="00813132" w:rsidRPr="00E76FFD">
        <w:rPr>
          <w:color w:val="auto"/>
        </w:rPr>
        <w:t xml:space="preserve"> </w:t>
      </w:r>
    </w:p>
    <w:p w14:paraId="62439ED1" w14:textId="77777777" w:rsidR="00712383" w:rsidRDefault="00712383" w:rsidP="00F864A1">
      <w:pPr>
        <w:spacing w:before="0"/>
        <w:jc w:val="both"/>
        <w:rPr>
          <w:color w:val="auto"/>
          <w:highlight w:val="yellow"/>
        </w:rPr>
      </w:pPr>
    </w:p>
    <w:p w14:paraId="1F121F1E" w14:textId="5FCBE651" w:rsidR="00BD6D9C" w:rsidRPr="009D343C" w:rsidRDefault="00BD6D9C" w:rsidP="00F864A1">
      <w:pPr>
        <w:tabs>
          <w:tab w:val="left" w:pos="709"/>
        </w:tabs>
        <w:spacing w:before="0"/>
        <w:contextualSpacing/>
        <w:jc w:val="both"/>
        <w:rPr>
          <w:color w:val="auto"/>
        </w:rPr>
      </w:pPr>
      <w:r w:rsidRPr="009D343C">
        <w:rPr>
          <w:color w:val="auto"/>
        </w:rPr>
        <w:t xml:space="preserve">Kartleggingen av tilstand for kjønnslikestilling samordnes på konsernnivå, med databidrag fra de enkelte selskapene. Data fra kartleggingen </w:t>
      </w:r>
      <w:r w:rsidR="006417E1" w:rsidRPr="009D343C">
        <w:rPr>
          <w:color w:val="auto"/>
        </w:rPr>
        <w:t>disku</w:t>
      </w:r>
      <w:r w:rsidR="003E092B" w:rsidRPr="009D343C">
        <w:rPr>
          <w:color w:val="auto"/>
        </w:rPr>
        <w:t xml:space="preserve">teres jevnlig med konserntillitsvalgt og lokale </w:t>
      </w:r>
      <w:r w:rsidR="009D343C" w:rsidRPr="009D343C">
        <w:rPr>
          <w:color w:val="auto"/>
        </w:rPr>
        <w:t xml:space="preserve">data med </w:t>
      </w:r>
      <w:r w:rsidR="003E092B" w:rsidRPr="009D343C">
        <w:rPr>
          <w:color w:val="auto"/>
        </w:rPr>
        <w:t>tillitsvalgte</w:t>
      </w:r>
      <w:r w:rsidR="009D343C" w:rsidRPr="009D343C">
        <w:rPr>
          <w:color w:val="auto"/>
        </w:rPr>
        <w:t xml:space="preserve"> lokalt</w:t>
      </w:r>
      <w:r w:rsidR="003E092B" w:rsidRPr="009D343C">
        <w:rPr>
          <w:color w:val="auto"/>
        </w:rPr>
        <w:t>.</w:t>
      </w:r>
      <w:r w:rsidRPr="009D343C">
        <w:rPr>
          <w:color w:val="auto"/>
        </w:rPr>
        <w:t xml:space="preserve"> </w:t>
      </w:r>
    </w:p>
    <w:p w14:paraId="6E5A8A01" w14:textId="77777777" w:rsidR="00BD6D9C" w:rsidRDefault="00BD6D9C" w:rsidP="00F864A1">
      <w:pPr>
        <w:tabs>
          <w:tab w:val="left" w:pos="709"/>
        </w:tabs>
        <w:spacing w:before="0"/>
        <w:contextualSpacing/>
        <w:jc w:val="both"/>
      </w:pPr>
    </w:p>
    <w:p w14:paraId="70F7B678" w14:textId="77777777" w:rsidR="00034AC8" w:rsidRDefault="00712383" w:rsidP="00F864A1">
      <w:pPr>
        <w:tabs>
          <w:tab w:val="left" w:pos="709"/>
        </w:tabs>
        <w:spacing w:before="0"/>
        <w:contextualSpacing/>
        <w:jc w:val="both"/>
      </w:pPr>
      <w:r w:rsidRPr="00045840">
        <w:t xml:space="preserve">NG Group AS inngår som en del av Summa Equitys portefølje. På bakgrunn av dette rapporter </w:t>
      </w:r>
      <w:r>
        <w:t>konsernet</w:t>
      </w:r>
      <w:r w:rsidRPr="00045840">
        <w:t xml:space="preserve"> årlig</w:t>
      </w:r>
      <w:r>
        <w:t xml:space="preserve"> på utvalgt</w:t>
      </w:r>
      <w:r w:rsidR="00E76FFD">
        <w:t>e</w:t>
      </w:r>
      <w:r w:rsidRPr="00045840">
        <w:t xml:space="preserve"> data om </w:t>
      </w:r>
      <w:r w:rsidR="00313F4A">
        <w:t>kjønn, HMS og lønn</w:t>
      </w:r>
      <w:r w:rsidRPr="00045840">
        <w:t xml:space="preserve">, </w:t>
      </w:r>
      <w:r>
        <w:t xml:space="preserve">noe som </w:t>
      </w:r>
      <w:r w:rsidR="00E76FFD">
        <w:t xml:space="preserve">sikrer at konsernet </w:t>
      </w:r>
      <w:r>
        <w:t>sørger for årlig aktivitet innenfor</w:t>
      </w:r>
      <w:r w:rsidRPr="00045840">
        <w:t xml:space="preserve"> kartlegging </w:t>
      </w:r>
      <w:r w:rsidR="00313F4A">
        <w:t xml:space="preserve">i henhold til </w:t>
      </w:r>
      <w:r w:rsidR="00B07D46">
        <w:t>Aktivitets- og redegjørelsesplikten</w:t>
      </w:r>
      <w:r w:rsidRPr="00045840">
        <w:t xml:space="preserve">. </w:t>
      </w:r>
    </w:p>
    <w:p w14:paraId="69573DC9" w14:textId="77777777" w:rsidR="00034AC8" w:rsidRDefault="00034AC8" w:rsidP="00F864A1">
      <w:pPr>
        <w:tabs>
          <w:tab w:val="left" w:pos="709"/>
        </w:tabs>
        <w:spacing w:before="0"/>
        <w:contextualSpacing/>
        <w:jc w:val="both"/>
      </w:pPr>
    </w:p>
    <w:p w14:paraId="2AE1F05D" w14:textId="52C1DC26" w:rsidR="00BC2BC5" w:rsidRDefault="00712383" w:rsidP="00F864A1">
      <w:pPr>
        <w:tabs>
          <w:tab w:val="left" w:pos="709"/>
        </w:tabs>
        <w:spacing w:before="0"/>
        <w:contextualSpacing/>
        <w:jc w:val="both"/>
      </w:pPr>
      <w:r>
        <w:t>Fra 202</w:t>
      </w:r>
      <w:r w:rsidR="00E0753B">
        <w:t>2</w:t>
      </w:r>
      <w:r>
        <w:t xml:space="preserve"> </w:t>
      </w:r>
      <w:r w:rsidR="009D343C">
        <w:t>har</w:t>
      </w:r>
      <w:r>
        <w:t xml:space="preserve"> konsernet benytte</w:t>
      </w:r>
      <w:r w:rsidR="009D343C">
        <w:t>t</w:t>
      </w:r>
      <w:r>
        <w:t xml:space="preserve"> en </w:t>
      </w:r>
      <w:r w:rsidR="00703D4C">
        <w:t xml:space="preserve">ny </w:t>
      </w:r>
      <w:r>
        <w:t xml:space="preserve">nøkkelindikator for </w:t>
      </w:r>
      <w:r w:rsidR="00272D67">
        <w:t xml:space="preserve">å følge opp og måle </w:t>
      </w:r>
      <w:r w:rsidR="00A071AF">
        <w:t xml:space="preserve">andel kvinner innenfor </w:t>
      </w:r>
      <w:r w:rsidR="00703D4C">
        <w:t>stillingskategoriene «</w:t>
      </w:r>
      <w:r>
        <w:t xml:space="preserve">ledere </w:t>
      </w:r>
      <w:r w:rsidR="00A071AF">
        <w:t xml:space="preserve">utenfor operativ drift </w:t>
      </w:r>
      <w:r>
        <w:t>og spesialistfun</w:t>
      </w:r>
      <w:r w:rsidR="009D73B2">
        <w:t>k</w:t>
      </w:r>
      <w:r>
        <w:t>sjoner</w:t>
      </w:r>
      <w:r w:rsidR="00703D4C">
        <w:t xml:space="preserve">». </w:t>
      </w:r>
      <w:r w:rsidR="00272D67">
        <w:t xml:space="preserve">Denne nye indikatoren </w:t>
      </w:r>
      <w:r w:rsidR="00E0753B">
        <w:t>er</w:t>
      </w:r>
      <w:r w:rsidR="00703D4C">
        <w:t xml:space="preserve"> knyttet til konsernets </w:t>
      </w:r>
      <w:r w:rsidR="00025B9B">
        <w:t>«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Loan</w:t>
      </w:r>
      <w:r w:rsidR="00025B9B">
        <w:t>»</w:t>
      </w:r>
      <w:r>
        <w:t xml:space="preserve">. </w:t>
      </w:r>
      <w:r w:rsidR="007C51BC">
        <w:t>Dette betyr at NG-Konsernet knytter lån</w:t>
      </w:r>
      <w:r w:rsidR="00A008C2">
        <w:t xml:space="preserve"> og lånevilkår</w:t>
      </w:r>
      <w:r w:rsidR="007C51BC">
        <w:t xml:space="preserve"> direkte til </w:t>
      </w:r>
      <w:r w:rsidR="00A008C2">
        <w:t xml:space="preserve">måloppnåelse </w:t>
      </w:r>
      <w:r w:rsidR="00F32E9F">
        <w:t xml:space="preserve">for </w:t>
      </w:r>
      <w:r w:rsidR="0065710B">
        <w:t>utvalgte</w:t>
      </w:r>
      <w:r w:rsidR="00F32E9F">
        <w:t xml:space="preserve"> </w:t>
      </w:r>
      <w:r w:rsidR="00025B9B">
        <w:t>bærekrafts indikatorer</w:t>
      </w:r>
      <w:r w:rsidR="0065710B">
        <w:t>, totalt fire</w:t>
      </w:r>
      <w:r w:rsidR="00A008C2">
        <w:t xml:space="preserve">. </w:t>
      </w:r>
      <w:proofErr w:type="spellStart"/>
      <w:r w:rsidR="00A008C2">
        <w:t>Èn</w:t>
      </w:r>
      <w:proofErr w:type="spellEnd"/>
      <w:r w:rsidR="00A008C2">
        <w:t xml:space="preserve"> </w:t>
      </w:r>
      <w:r w:rsidR="00A008C2">
        <w:lastRenderedPageBreak/>
        <w:t>av disse</w:t>
      </w:r>
      <w:r w:rsidR="007C51BC">
        <w:t xml:space="preserve"> </w:t>
      </w:r>
      <w:r w:rsidR="00F32E9F">
        <w:t xml:space="preserve">vil være knyttet til prosentandel kvinner i </w:t>
      </w:r>
      <w:r w:rsidR="00995E8F">
        <w:t>«</w:t>
      </w:r>
      <w:r w:rsidR="004639A3">
        <w:t xml:space="preserve">spesialistfunksjon og </w:t>
      </w:r>
      <w:r w:rsidR="00F32E9F">
        <w:t>lederrolle utenfor operativ drift</w:t>
      </w:r>
      <w:r w:rsidR="00995E8F">
        <w:t>»</w:t>
      </w:r>
      <w:r w:rsidR="004639A3">
        <w:t xml:space="preserve">. </w:t>
      </w:r>
      <w:r w:rsidR="004234B3" w:rsidRPr="00227766">
        <w:t>I 2022 var vi 29,5% kvinner i ledelse og spesialiststillinger. 31.</w:t>
      </w:r>
      <w:r w:rsidR="00996573">
        <w:t>12.</w:t>
      </w:r>
      <w:r w:rsidR="004234B3" w:rsidRPr="00227766">
        <w:t>23 var vi</w:t>
      </w:r>
      <w:r w:rsidR="00996573">
        <w:t xml:space="preserve"> oppe i</w:t>
      </w:r>
      <w:r w:rsidR="004234B3" w:rsidRPr="00227766">
        <w:t xml:space="preserve"> 33%</w:t>
      </w:r>
      <w:r w:rsidR="00F8162D" w:rsidRPr="00227766">
        <w:t xml:space="preserve"> </w:t>
      </w:r>
      <w:r w:rsidR="00F8162D">
        <w:t>(inkludert ansatte i ikke-norske selskaper).</w:t>
      </w:r>
      <w:r w:rsidR="00F8162D" w:rsidRPr="00227766">
        <w:t xml:space="preserve"> Konsernet er</w:t>
      </w:r>
      <w:r w:rsidR="003B0E82" w:rsidRPr="00227766">
        <w:t xml:space="preserve"> altså</w:t>
      </w:r>
      <w:r w:rsidR="00F8162D" w:rsidRPr="00227766">
        <w:t xml:space="preserve"> g</w:t>
      </w:r>
      <w:r w:rsidR="004234B3" w:rsidRPr="00227766">
        <w:t xml:space="preserve">odt </w:t>
      </w:r>
      <w:proofErr w:type="spellStart"/>
      <w:r w:rsidR="00F0186E" w:rsidRPr="00227766">
        <w:t>for</w:t>
      </w:r>
      <w:r w:rsidR="00B45FC9">
        <w:t>r</w:t>
      </w:r>
      <w:r w:rsidR="00F0186E">
        <w:t>an</w:t>
      </w:r>
      <w:proofErr w:type="spellEnd"/>
      <w:r w:rsidR="00F8162D" w:rsidRPr="00227766">
        <w:t xml:space="preserve"> </w:t>
      </w:r>
      <w:r w:rsidR="00227766">
        <w:t>gruppens mål</w:t>
      </w:r>
      <w:r w:rsidR="004234B3" w:rsidRPr="00227766">
        <w:t xml:space="preserve"> </w:t>
      </w:r>
      <w:r w:rsidR="003B0E82" w:rsidRPr="00227766">
        <w:t>for 2023 på 30.6%.</w:t>
      </w:r>
      <w:r w:rsidR="004234B3" w:rsidRPr="00227766">
        <w:t xml:space="preserve"> </w:t>
      </w:r>
      <w:r w:rsidR="003B0E82" w:rsidRPr="00227766">
        <w:t xml:space="preserve">Det langsiktige </w:t>
      </w:r>
      <w:r w:rsidR="00AF4A8E">
        <w:t>gruppe-</w:t>
      </w:r>
      <w:r w:rsidR="003B0E82" w:rsidRPr="00227766">
        <w:t>m</w:t>
      </w:r>
      <w:r w:rsidR="004234B3" w:rsidRPr="00227766">
        <w:t xml:space="preserve">ålet </w:t>
      </w:r>
      <w:r w:rsidR="00967242" w:rsidRPr="00227766">
        <w:t xml:space="preserve">for denne SLL </w:t>
      </w:r>
      <w:proofErr w:type="spellStart"/>
      <w:r w:rsidR="00967242" w:rsidRPr="00227766">
        <w:t>KPIen</w:t>
      </w:r>
      <w:proofErr w:type="spellEnd"/>
      <w:r w:rsidR="00967242" w:rsidRPr="00227766">
        <w:t xml:space="preserve"> </w:t>
      </w:r>
      <w:r w:rsidR="004234B3" w:rsidRPr="00227766">
        <w:t>er 40%</w:t>
      </w:r>
      <w:r w:rsidR="00152D0C">
        <w:t xml:space="preserve"> kvinner i «spesialistfunksjon og lederrolle utenfor operativ drift»</w:t>
      </w:r>
      <w:r w:rsidR="004234B3" w:rsidRPr="00227766">
        <w:t xml:space="preserve"> i 2027.</w:t>
      </w:r>
    </w:p>
    <w:p w14:paraId="4769BF9C" w14:textId="77777777" w:rsidR="00AF174A" w:rsidRDefault="00AF174A" w:rsidP="00F864A1">
      <w:pPr>
        <w:spacing w:before="0"/>
        <w:jc w:val="both"/>
        <w:rPr>
          <w:b/>
          <w:bCs/>
          <w:color w:val="767171" w:themeColor="background2" w:themeShade="80"/>
        </w:rPr>
      </w:pPr>
    </w:p>
    <w:p w14:paraId="4A906A71" w14:textId="79F1DAFA" w:rsidR="00070DA5" w:rsidRPr="004B1539" w:rsidRDefault="00B07D46" w:rsidP="00480E1D">
      <w:pPr>
        <w:contextualSpacing/>
        <w:rPr>
          <w:color w:val="auto"/>
        </w:rPr>
      </w:pPr>
      <w:r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Aktiviteter</w:t>
      </w:r>
      <w:r w:rsidR="00CA6616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</w:t>
      </w:r>
      <w:r w:rsidR="005101F7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i 202</w:t>
      </w:r>
      <w:r w:rsidR="002B744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3</w:t>
      </w:r>
      <w:r w:rsidR="008B7A61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for å kartlegge risiko</w:t>
      </w:r>
      <w:r w:rsidR="002813E6">
        <w:rPr>
          <w:b/>
          <w:bCs/>
          <w:color w:val="auto"/>
        </w:rPr>
        <w:br/>
      </w:r>
      <w:r w:rsidR="00070DA5" w:rsidRPr="004B1539">
        <w:rPr>
          <w:color w:val="auto"/>
        </w:rPr>
        <w:t xml:space="preserve">Fra og med 2023 </w:t>
      </w:r>
      <w:r w:rsidR="00480E1D">
        <w:rPr>
          <w:color w:val="auto"/>
        </w:rPr>
        <w:t>er det gjennomført</w:t>
      </w:r>
      <w:r w:rsidR="00070DA5" w:rsidRPr="004B1539">
        <w:rPr>
          <w:color w:val="auto"/>
        </w:rPr>
        <w:t xml:space="preserve"> en kartleggingsundersøkelse blant konsernets kvinnelig</w:t>
      </w:r>
      <w:r w:rsidR="00070DA5">
        <w:rPr>
          <w:color w:val="auto"/>
        </w:rPr>
        <w:t>e</w:t>
      </w:r>
      <w:r w:rsidR="00070DA5" w:rsidRPr="004B1539">
        <w:rPr>
          <w:color w:val="auto"/>
        </w:rPr>
        <w:t xml:space="preserve"> ansatte. </w:t>
      </w:r>
      <w:r w:rsidR="00070DA5">
        <w:rPr>
          <w:color w:val="auto"/>
        </w:rPr>
        <w:t>Undersøkelsen hadde en høy responsrate</w:t>
      </w:r>
      <w:r w:rsidR="004E1B1D">
        <w:rPr>
          <w:color w:val="auto"/>
        </w:rPr>
        <w:t xml:space="preserve"> (20</w:t>
      </w:r>
      <w:r w:rsidR="0081446D">
        <w:rPr>
          <w:color w:val="auto"/>
        </w:rPr>
        <w:t>9/352</w:t>
      </w:r>
      <w:r w:rsidR="009163DA">
        <w:rPr>
          <w:color w:val="auto"/>
        </w:rPr>
        <w:t xml:space="preserve"> </w:t>
      </w:r>
      <w:r w:rsidR="0081446D">
        <w:rPr>
          <w:color w:val="auto"/>
        </w:rPr>
        <w:t>-</w:t>
      </w:r>
      <w:r w:rsidR="009163DA">
        <w:rPr>
          <w:color w:val="auto"/>
        </w:rPr>
        <w:t xml:space="preserve"> </w:t>
      </w:r>
      <w:r w:rsidR="0081446D">
        <w:rPr>
          <w:color w:val="auto"/>
        </w:rPr>
        <w:t>59%)</w:t>
      </w:r>
      <w:r w:rsidR="00070DA5">
        <w:rPr>
          <w:color w:val="auto"/>
        </w:rPr>
        <w:t xml:space="preserve"> og ga oss viktig feedback for å prioritere tiltak for denne gruppen. </w:t>
      </w:r>
      <w:r w:rsidR="00070DA5" w:rsidRPr="004B1539">
        <w:rPr>
          <w:color w:val="auto"/>
        </w:rPr>
        <w:t xml:space="preserve"> </w:t>
      </w:r>
      <w:r w:rsidR="00070DA5">
        <w:rPr>
          <w:color w:val="auto"/>
        </w:rPr>
        <w:t xml:space="preserve">Dette </w:t>
      </w:r>
      <w:r w:rsidR="00070DA5" w:rsidRPr="004B1539">
        <w:rPr>
          <w:color w:val="auto"/>
        </w:rPr>
        <w:t xml:space="preserve">medførte </w:t>
      </w:r>
      <w:r w:rsidR="00070DA5">
        <w:rPr>
          <w:color w:val="auto"/>
        </w:rPr>
        <w:t>flere</w:t>
      </w:r>
      <w:r w:rsidR="00070DA5" w:rsidRPr="004B1539">
        <w:rPr>
          <w:color w:val="auto"/>
        </w:rPr>
        <w:t xml:space="preserve"> ulike tilpasninger som </w:t>
      </w:r>
      <w:r w:rsidR="001C302F">
        <w:rPr>
          <w:color w:val="auto"/>
        </w:rPr>
        <w:t>nevnes i tiltakene under</w:t>
      </w:r>
      <w:r w:rsidR="001C302F">
        <w:rPr>
          <w:rFonts w:eastAsia="Times New Roman"/>
        </w:rPr>
        <w:t xml:space="preserve">. </w:t>
      </w:r>
      <w:r w:rsidR="00070DA5" w:rsidRPr="004B1539">
        <w:rPr>
          <w:color w:val="auto"/>
        </w:rPr>
        <w:t>Denne undersøkelsen videreføres i 2024.</w:t>
      </w:r>
    </w:p>
    <w:p w14:paraId="720F174F" w14:textId="77777777" w:rsidR="00E6132A" w:rsidRDefault="00E6132A" w:rsidP="00F864A1">
      <w:pPr>
        <w:contextualSpacing/>
        <w:jc w:val="both"/>
        <w:rPr>
          <w:color w:val="auto"/>
        </w:rPr>
      </w:pPr>
    </w:p>
    <w:p w14:paraId="21505575" w14:textId="619114A7" w:rsidR="00070DA5" w:rsidRDefault="00070DA5" w:rsidP="00F864A1">
      <w:pPr>
        <w:contextualSpacing/>
        <w:jc w:val="both"/>
        <w:rPr>
          <w:color w:val="auto"/>
        </w:rPr>
      </w:pPr>
      <w:r w:rsidRPr="004B1539">
        <w:rPr>
          <w:color w:val="auto"/>
        </w:rPr>
        <w:t>En ny medarbeiderundersøkelse</w:t>
      </w:r>
      <w:r>
        <w:rPr>
          <w:color w:val="auto"/>
        </w:rPr>
        <w:t xml:space="preserve"> (EES)</w:t>
      </w:r>
      <w:r w:rsidRPr="004B1539">
        <w:rPr>
          <w:color w:val="auto"/>
        </w:rPr>
        <w:t xml:space="preserve"> er </w:t>
      </w:r>
      <w:r w:rsidR="00E6132A">
        <w:rPr>
          <w:color w:val="auto"/>
        </w:rPr>
        <w:t>innført</w:t>
      </w:r>
      <w:r w:rsidRPr="004B1539">
        <w:rPr>
          <w:color w:val="auto"/>
        </w:rPr>
        <w:t xml:space="preserve"> i 2023 hvor Mangfold og Inkludering er en egen kategori. </w:t>
      </w:r>
      <w:proofErr w:type="spellStart"/>
      <w:r>
        <w:rPr>
          <w:color w:val="auto"/>
        </w:rPr>
        <w:t>EESen</w:t>
      </w:r>
      <w:proofErr w:type="spellEnd"/>
      <w:r>
        <w:rPr>
          <w:color w:val="auto"/>
        </w:rPr>
        <w:t xml:space="preserve"> følges opp både på konsern</w:t>
      </w:r>
      <w:r w:rsidR="00E6132A">
        <w:rPr>
          <w:color w:val="auto"/>
        </w:rPr>
        <w:t>-</w:t>
      </w:r>
      <w:r>
        <w:rPr>
          <w:color w:val="auto"/>
        </w:rPr>
        <w:t xml:space="preserve">nivå og i hver Plattform og selskap med dedikerte arbeidsgrupper og utviklingsmål. </w:t>
      </w:r>
      <w:r w:rsidRPr="004B1539">
        <w:rPr>
          <w:color w:val="auto"/>
        </w:rPr>
        <w:t>Puls undersøkelser kjøres</w:t>
      </w:r>
      <w:r>
        <w:rPr>
          <w:color w:val="auto"/>
        </w:rPr>
        <w:t xml:space="preserve"> også</w:t>
      </w:r>
      <w:r w:rsidRPr="004B1539">
        <w:rPr>
          <w:color w:val="auto"/>
        </w:rPr>
        <w:t xml:space="preserve"> jevnlig i flere av Plattformene i Norge</w:t>
      </w:r>
      <w:r>
        <w:rPr>
          <w:color w:val="auto"/>
        </w:rPr>
        <w:t xml:space="preserve"> for å følge opp dette lokalt.</w:t>
      </w:r>
    </w:p>
    <w:p w14:paraId="7B211B71" w14:textId="77777777" w:rsidR="00E6132A" w:rsidRPr="004B1539" w:rsidRDefault="00E6132A" w:rsidP="00F864A1">
      <w:pPr>
        <w:contextualSpacing/>
        <w:jc w:val="both"/>
        <w:rPr>
          <w:color w:val="auto"/>
        </w:rPr>
      </w:pPr>
    </w:p>
    <w:p w14:paraId="6183F400" w14:textId="21EB2C44" w:rsidR="00047795" w:rsidRPr="00047795" w:rsidRDefault="004A0629" w:rsidP="00F864A1">
      <w:pPr>
        <w:spacing w:before="0"/>
        <w:jc w:val="both"/>
        <w:rPr>
          <w:color w:val="auto"/>
        </w:rPr>
      </w:pPr>
      <w:r>
        <w:rPr>
          <w:color w:val="auto"/>
        </w:rPr>
        <w:t>Utover dette påpekte t</w:t>
      </w:r>
      <w:r w:rsidR="00047795" w:rsidRPr="00047795">
        <w:rPr>
          <w:color w:val="auto"/>
        </w:rPr>
        <w:t xml:space="preserve">illitsvalgte </w:t>
      </w:r>
      <w:r w:rsidR="008B7A61">
        <w:rPr>
          <w:color w:val="auto"/>
        </w:rPr>
        <w:t>også</w:t>
      </w:r>
      <w:r w:rsidR="00047795" w:rsidRPr="00047795">
        <w:rPr>
          <w:color w:val="auto"/>
        </w:rPr>
        <w:t xml:space="preserve"> en risiko for at sjåfører kan snakkes ned dersom de ikke behersker norsk. Dette viser risiko for diskriminering basert på etnisitet og opprinnelse. </w:t>
      </w:r>
    </w:p>
    <w:p w14:paraId="2A3D4B19" w14:textId="61F14E90" w:rsidR="00047795" w:rsidRDefault="00047795" w:rsidP="00480E1D">
      <w:pPr>
        <w:spacing w:before="0"/>
        <w:rPr>
          <w:color w:val="auto"/>
        </w:rPr>
      </w:pPr>
    </w:p>
    <w:p w14:paraId="126EB4DA" w14:textId="6425C111" w:rsidR="00DE25DC" w:rsidRPr="00F17C27" w:rsidRDefault="00336A0E" w:rsidP="00480E1D">
      <w:pPr>
        <w:contextualSpacing/>
        <w:rPr>
          <w:color w:val="auto"/>
        </w:rPr>
      </w:pPr>
      <w:r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Å</w:t>
      </w:r>
      <w:r w:rsidR="00DE25DC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rsaker til risikoer og hindre</w:t>
      </w:r>
      <w:r w:rsidR="00DE25DC" w:rsidRPr="00F17C27">
        <w:rPr>
          <w:b/>
          <w:bCs/>
          <w:color w:val="auto"/>
        </w:rPr>
        <w:br/>
      </w:r>
      <w:r w:rsidR="00DE25DC" w:rsidRPr="00F17C27">
        <w:rPr>
          <w:color w:val="auto"/>
        </w:rPr>
        <w:t xml:space="preserve">Tillitsvalgte og ledelsen har </w:t>
      </w:r>
      <w:r w:rsidR="00B77EB9" w:rsidRPr="00F17C27">
        <w:rPr>
          <w:color w:val="auto"/>
        </w:rPr>
        <w:t>funnet følgende</w:t>
      </w:r>
      <w:r w:rsidR="00DE25DC" w:rsidRPr="00F17C27">
        <w:rPr>
          <w:color w:val="auto"/>
        </w:rPr>
        <w:t xml:space="preserve"> mulige årsaker </w:t>
      </w:r>
      <w:r w:rsidR="00B77EB9" w:rsidRPr="00F17C27">
        <w:rPr>
          <w:color w:val="auto"/>
        </w:rPr>
        <w:t>til risikoer og hindre</w:t>
      </w:r>
      <w:r w:rsidR="00F10F09" w:rsidRPr="00F17C27">
        <w:rPr>
          <w:color w:val="auto"/>
        </w:rPr>
        <w:t>:</w:t>
      </w:r>
    </w:p>
    <w:p w14:paraId="2BD286A1" w14:textId="00C8A4C2" w:rsidR="002813E6" w:rsidRPr="008C6513" w:rsidRDefault="00F10F09" w:rsidP="00F864A1">
      <w:pPr>
        <w:pStyle w:val="Listeavsnitt"/>
        <w:numPr>
          <w:ilvl w:val="0"/>
          <w:numId w:val="10"/>
        </w:numPr>
        <w:spacing w:before="0"/>
        <w:jc w:val="both"/>
        <w:rPr>
          <w:b/>
          <w:bCs/>
          <w:color w:val="auto"/>
        </w:rPr>
      </w:pPr>
      <w:r w:rsidRPr="008C6513">
        <w:rPr>
          <w:color w:val="auto"/>
        </w:rPr>
        <w:t>L</w:t>
      </w:r>
      <w:r w:rsidR="00DE25DC" w:rsidRPr="008C6513">
        <w:rPr>
          <w:color w:val="auto"/>
        </w:rPr>
        <w:t xml:space="preserve">ønnsforskjellene </w:t>
      </w:r>
      <w:r w:rsidR="00FB4AA2" w:rsidRPr="008C6513">
        <w:rPr>
          <w:color w:val="auto"/>
        </w:rPr>
        <w:t xml:space="preserve">i </w:t>
      </w:r>
      <w:r w:rsidR="00254B3A">
        <w:rPr>
          <w:color w:val="auto"/>
        </w:rPr>
        <w:t xml:space="preserve">ulike miljøer skal </w:t>
      </w:r>
      <w:r w:rsidR="000B40F6">
        <w:rPr>
          <w:color w:val="auto"/>
        </w:rPr>
        <w:t>analyseres</w:t>
      </w:r>
      <w:r w:rsidR="00BE74B8">
        <w:rPr>
          <w:color w:val="auto"/>
        </w:rPr>
        <w:t xml:space="preserve"> videre med</w:t>
      </w:r>
      <w:r w:rsidR="00DA72E8">
        <w:rPr>
          <w:color w:val="auto"/>
        </w:rPr>
        <w:t xml:space="preserve"> </w:t>
      </w:r>
      <w:r w:rsidR="00BE74B8">
        <w:rPr>
          <w:color w:val="auto"/>
        </w:rPr>
        <w:t>lik</w:t>
      </w:r>
      <w:r w:rsidR="00DA72E8">
        <w:rPr>
          <w:color w:val="auto"/>
        </w:rPr>
        <w:t xml:space="preserve"> </w:t>
      </w:r>
      <w:r w:rsidR="00BE74B8">
        <w:rPr>
          <w:color w:val="auto"/>
        </w:rPr>
        <w:t>lønn for likt arbeid</w:t>
      </w:r>
      <w:r w:rsidR="009A1118">
        <w:rPr>
          <w:color w:val="auto"/>
        </w:rPr>
        <w:t xml:space="preserve"> som </w:t>
      </w:r>
      <w:r w:rsidR="00DA72E8">
        <w:rPr>
          <w:color w:val="auto"/>
        </w:rPr>
        <w:t>klart og tydelig mål</w:t>
      </w:r>
      <w:r w:rsidR="000B40F6">
        <w:rPr>
          <w:color w:val="auto"/>
        </w:rPr>
        <w:t>.</w:t>
      </w:r>
    </w:p>
    <w:p w14:paraId="603148FB" w14:textId="09175E9E" w:rsidR="00FB31E9" w:rsidRPr="008C6513" w:rsidRDefault="00FB31E9" w:rsidP="00F864A1">
      <w:pPr>
        <w:pStyle w:val="Listeavsnitt"/>
        <w:numPr>
          <w:ilvl w:val="0"/>
          <w:numId w:val="10"/>
        </w:numPr>
        <w:spacing w:before="0"/>
        <w:jc w:val="both"/>
        <w:rPr>
          <w:b/>
          <w:bCs/>
          <w:color w:val="auto"/>
        </w:rPr>
      </w:pPr>
      <w:r w:rsidRPr="008C6513">
        <w:rPr>
          <w:color w:val="auto"/>
        </w:rPr>
        <w:t xml:space="preserve">Det har vært en tanke at flere arbeidsoperasjoner krever mye fysisk styrke og er egnet </w:t>
      </w:r>
      <w:r w:rsidR="004E2580">
        <w:rPr>
          <w:color w:val="auto"/>
        </w:rPr>
        <w:t xml:space="preserve">kun </w:t>
      </w:r>
      <w:r w:rsidRPr="008C6513">
        <w:rPr>
          <w:color w:val="auto"/>
        </w:rPr>
        <w:t xml:space="preserve">for menn, men flere av disse operasjonene kan </w:t>
      </w:r>
      <w:r w:rsidR="00254B3A">
        <w:rPr>
          <w:color w:val="auto"/>
        </w:rPr>
        <w:t xml:space="preserve">antagelig </w:t>
      </w:r>
      <w:r w:rsidRPr="008C6513">
        <w:rPr>
          <w:color w:val="auto"/>
        </w:rPr>
        <w:t xml:space="preserve">tilsettes av kvinner. </w:t>
      </w:r>
      <w:r w:rsidR="00254B3A">
        <w:rPr>
          <w:color w:val="auto"/>
        </w:rPr>
        <w:t>Dette</w:t>
      </w:r>
      <w:r w:rsidR="00E56F56">
        <w:rPr>
          <w:color w:val="auto"/>
        </w:rPr>
        <w:t xml:space="preserve"> skal</w:t>
      </w:r>
      <w:r w:rsidR="00254B3A">
        <w:rPr>
          <w:color w:val="auto"/>
        </w:rPr>
        <w:t xml:space="preserve"> tas med inn i kravsettingen ved rekrutteringsproses</w:t>
      </w:r>
      <w:r w:rsidR="005B08FF">
        <w:rPr>
          <w:color w:val="auto"/>
        </w:rPr>
        <w:t>sene til slike roller.</w:t>
      </w:r>
    </w:p>
    <w:p w14:paraId="47F9907A" w14:textId="4A9BA199" w:rsidR="00DA1593" w:rsidRPr="008C6513" w:rsidRDefault="00F10F09" w:rsidP="00F864A1">
      <w:pPr>
        <w:pStyle w:val="Listeavsnitt"/>
        <w:numPr>
          <w:ilvl w:val="0"/>
          <w:numId w:val="10"/>
        </w:numPr>
        <w:spacing w:before="0"/>
        <w:jc w:val="both"/>
        <w:rPr>
          <w:b/>
          <w:bCs/>
          <w:color w:val="auto"/>
        </w:rPr>
      </w:pPr>
      <w:r w:rsidRPr="3EF605AE">
        <w:rPr>
          <w:color w:val="auto"/>
        </w:rPr>
        <w:t>Vi</w:t>
      </w:r>
      <w:r w:rsidR="00DA1593" w:rsidRPr="3EF605AE">
        <w:rPr>
          <w:color w:val="auto"/>
        </w:rPr>
        <w:t xml:space="preserve"> </w:t>
      </w:r>
      <w:r w:rsidR="00FB4AA2" w:rsidRPr="3EF605AE">
        <w:rPr>
          <w:color w:val="auto"/>
        </w:rPr>
        <w:t>kan ha</w:t>
      </w:r>
      <w:r w:rsidR="00DA1593" w:rsidRPr="3EF605AE">
        <w:rPr>
          <w:color w:val="auto"/>
        </w:rPr>
        <w:t xml:space="preserve"> en utfordring med kultur</w:t>
      </w:r>
      <w:r w:rsidRPr="3EF605AE">
        <w:rPr>
          <w:color w:val="auto"/>
        </w:rPr>
        <w:t>,</w:t>
      </w:r>
      <w:r w:rsidR="00DA1593" w:rsidRPr="3EF605AE">
        <w:rPr>
          <w:color w:val="auto"/>
        </w:rPr>
        <w:t xml:space="preserve"> holdninger</w:t>
      </w:r>
      <w:r w:rsidRPr="3EF605AE">
        <w:rPr>
          <w:color w:val="auto"/>
        </w:rPr>
        <w:t xml:space="preserve"> og sjargongen</w:t>
      </w:r>
      <w:r w:rsidR="00DA1593" w:rsidRPr="3EF605AE">
        <w:rPr>
          <w:color w:val="auto"/>
        </w:rPr>
        <w:t xml:space="preserve"> på arbeidsplassen. </w:t>
      </w:r>
      <w:r w:rsidR="008C6513" w:rsidRPr="3EF605AE">
        <w:rPr>
          <w:color w:val="auto"/>
        </w:rPr>
        <w:t>Dette skal det fortsettes å jobbes med.</w:t>
      </w:r>
      <w:r w:rsidR="00FD774C" w:rsidRPr="3EF605AE">
        <w:rPr>
          <w:color w:val="auto"/>
        </w:rPr>
        <w:t xml:space="preserve"> Vi har nulltoleranse for </w:t>
      </w:r>
      <w:r w:rsidR="119F7572" w:rsidRPr="3EF605AE">
        <w:rPr>
          <w:color w:val="auto"/>
        </w:rPr>
        <w:t>diskriminering</w:t>
      </w:r>
      <w:r w:rsidR="00FD774C" w:rsidRPr="3EF605AE">
        <w:rPr>
          <w:color w:val="auto"/>
        </w:rPr>
        <w:t>.</w:t>
      </w:r>
    </w:p>
    <w:p w14:paraId="6F01B174" w14:textId="77777777" w:rsidR="00461CE1" w:rsidRDefault="00461CE1" w:rsidP="00F864A1">
      <w:pPr>
        <w:spacing w:before="0"/>
        <w:jc w:val="both"/>
        <w:rPr>
          <w:b/>
          <w:bCs/>
          <w:color w:val="auto"/>
        </w:rPr>
      </w:pPr>
    </w:p>
    <w:p w14:paraId="3BD20B51" w14:textId="62FAA04C" w:rsidR="00A3516F" w:rsidRDefault="002813E6" w:rsidP="00A3516F">
      <w:pPr>
        <w:spacing w:before="0"/>
        <w:rPr>
          <w:b/>
          <w:bCs/>
          <w:color w:val="auto"/>
        </w:rPr>
      </w:pPr>
      <w:r w:rsidRPr="00A3516F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Tiltak</w:t>
      </w:r>
      <w:r w:rsidR="004077D2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som er innført</w:t>
      </w:r>
      <w:r w:rsidRPr="00A3516F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i 202</w:t>
      </w:r>
      <w:r w:rsidR="004B1539" w:rsidRPr="00A3516F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3</w:t>
      </w:r>
      <w:r w:rsidR="00DE25DC" w:rsidRPr="00A3516F">
        <w:rPr>
          <w:b/>
          <w:bCs/>
          <w:color w:val="auto"/>
        </w:rPr>
        <w:t xml:space="preserve"> </w:t>
      </w:r>
    </w:p>
    <w:p w14:paraId="2B0454E6" w14:textId="77777777" w:rsidR="004077D2" w:rsidRPr="004077D2" w:rsidRDefault="00DA17B9" w:rsidP="0089248E">
      <w:pPr>
        <w:pStyle w:val="Listeavsnitt"/>
        <w:numPr>
          <w:ilvl w:val="0"/>
          <w:numId w:val="39"/>
        </w:numPr>
        <w:spacing w:before="0"/>
        <w:rPr>
          <w:color w:val="auto"/>
        </w:rPr>
      </w:pPr>
      <w:r w:rsidRPr="00A3516F">
        <w:rPr>
          <w:rFonts w:eastAsia="Times New Roman"/>
        </w:rPr>
        <w:t xml:space="preserve">Karantenetiden på ett år for å få utbetalt full lønn under foreldrepermisjon </w:t>
      </w:r>
      <w:r w:rsidR="002E54CC" w:rsidRPr="00A3516F">
        <w:rPr>
          <w:rFonts w:eastAsia="Times New Roman"/>
        </w:rPr>
        <w:t>er fjernet</w:t>
      </w:r>
      <w:r w:rsidRPr="00A3516F">
        <w:rPr>
          <w:rFonts w:eastAsia="Times New Roman"/>
        </w:rPr>
        <w:t xml:space="preserve">. </w:t>
      </w:r>
    </w:p>
    <w:p w14:paraId="768159FA" w14:textId="43E45E59" w:rsidR="00D07B85" w:rsidRPr="0089248E" w:rsidRDefault="004B1539" w:rsidP="0089248E">
      <w:pPr>
        <w:pStyle w:val="Listeavsnitt"/>
        <w:numPr>
          <w:ilvl w:val="0"/>
          <w:numId w:val="39"/>
        </w:numPr>
        <w:spacing w:before="0"/>
        <w:rPr>
          <w:color w:val="auto"/>
        </w:rPr>
      </w:pPr>
      <w:r w:rsidRPr="00A3516F">
        <w:rPr>
          <w:color w:val="auto"/>
        </w:rPr>
        <w:t xml:space="preserve">For ansatte med bonusavtale skal lovbestemt fravær </w:t>
      </w:r>
      <w:proofErr w:type="spellStart"/>
      <w:r w:rsidRPr="00A3516F">
        <w:rPr>
          <w:color w:val="auto"/>
        </w:rPr>
        <w:t>ifbm</w:t>
      </w:r>
      <w:proofErr w:type="spellEnd"/>
      <w:r w:rsidRPr="00A3516F">
        <w:rPr>
          <w:color w:val="auto"/>
        </w:rPr>
        <w:t xml:space="preserve"> foreldrepermisjon </w:t>
      </w:r>
      <w:r w:rsidRPr="00A3516F">
        <w:rPr>
          <w:rFonts w:eastAsia="Times New Roman"/>
        </w:rPr>
        <w:t xml:space="preserve">ikke gi avkortning av bonus. Dette gjelder for de uker som er lovbestemt til hhv mor eller far. </w:t>
      </w:r>
      <w:r w:rsidR="00540828" w:rsidRPr="00A3516F">
        <w:rPr>
          <w:rFonts w:eastAsia="Times New Roman"/>
        </w:rPr>
        <w:t xml:space="preserve">For foreldrepermisjon utover p.t. 15 uker, avkortes bonus med 50% av denne tiden. Der beregning av bonus også skjer basert på personlige mål, erstattes dette med gjennomsnittsberegning av personlig måloppnåelse i enheten. </w:t>
      </w:r>
    </w:p>
    <w:p w14:paraId="6D977FCB" w14:textId="77777777" w:rsidR="003036E3" w:rsidRDefault="00831150" w:rsidP="00F864A1">
      <w:pPr>
        <w:pStyle w:val="Listeavsnitt"/>
        <w:numPr>
          <w:ilvl w:val="0"/>
          <w:numId w:val="37"/>
        </w:numPr>
        <w:jc w:val="both"/>
        <w:rPr>
          <w:color w:val="auto"/>
        </w:rPr>
      </w:pPr>
      <w:r w:rsidRPr="00A1264D">
        <w:rPr>
          <w:color w:val="auto"/>
        </w:rPr>
        <w:t>Det skal sikres at ansatte som er i foreldrepermisjon får utbetalt det generelle lønnstillegget</w:t>
      </w:r>
      <w:r w:rsidR="00D07B85" w:rsidRPr="00A1264D">
        <w:rPr>
          <w:color w:val="auto"/>
        </w:rPr>
        <w:t xml:space="preserve">. </w:t>
      </w:r>
    </w:p>
    <w:p w14:paraId="42385F50" w14:textId="638482B7" w:rsidR="004B1539" w:rsidRPr="0089248E" w:rsidRDefault="00D07B85" w:rsidP="00F864A1">
      <w:pPr>
        <w:pStyle w:val="Listeavsnitt"/>
        <w:numPr>
          <w:ilvl w:val="0"/>
          <w:numId w:val="37"/>
        </w:numPr>
        <w:jc w:val="both"/>
        <w:rPr>
          <w:color w:val="auto"/>
        </w:rPr>
      </w:pPr>
      <w:r w:rsidRPr="00A1264D">
        <w:rPr>
          <w:color w:val="auto"/>
        </w:rPr>
        <w:t>I forbindelse med den årlige gjennomgangen av ansattes lønn, skal det foretas en lønnsvurdering av lik lønn for samme arbeid og/eller arbeid av lik verdi. Gjennomgangen skal kunne dokumenteres</w:t>
      </w:r>
      <w:r w:rsidR="0D98A823" w:rsidRPr="00A1264D">
        <w:rPr>
          <w:color w:val="auto"/>
        </w:rPr>
        <w:t>.</w:t>
      </w:r>
    </w:p>
    <w:p w14:paraId="73B70C3F" w14:textId="7220E304" w:rsidR="006C2ABE" w:rsidRPr="0089248E" w:rsidRDefault="00856423" w:rsidP="00F864A1">
      <w:pPr>
        <w:pStyle w:val="Listeavsnitt"/>
        <w:numPr>
          <w:ilvl w:val="0"/>
          <w:numId w:val="37"/>
        </w:numPr>
        <w:jc w:val="both"/>
        <w:rPr>
          <w:color w:val="auto"/>
        </w:rPr>
      </w:pPr>
      <w:r w:rsidRPr="00A1264D">
        <w:rPr>
          <w:color w:val="auto"/>
        </w:rPr>
        <w:t xml:space="preserve">NG Group </w:t>
      </w:r>
      <w:r w:rsidR="00F3644E" w:rsidRPr="00A1264D">
        <w:rPr>
          <w:color w:val="auto"/>
        </w:rPr>
        <w:t xml:space="preserve">har besluttet </w:t>
      </w:r>
      <w:r w:rsidRPr="00A1264D">
        <w:rPr>
          <w:color w:val="auto"/>
        </w:rPr>
        <w:t xml:space="preserve">en ny </w:t>
      </w:r>
      <w:r w:rsidR="004338F7" w:rsidRPr="00A1264D">
        <w:rPr>
          <w:color w:val="auto"/>
        </w:rPr>
        <w:t>Engasjements-</w:t>
      </w:r>
      <w:r w:rsidRPr="00A1264D">
        <w:rPr>
          <w:color w:val="auto"/>
        </w:rPr>
        <w:t>KPI for gruppens</w:t>
      </w:r>
      <w:r w:rsidR="004B1539" w:rsidRPr="00A1264D">
        <w:rPr>
          <w:color w:val="auto"/>
        </w:rPr>
        <w:t xml:space="preserve"> bonus program</w:t>
      </w:r>
      <w:r w:rsidRPr="00A1264D">
        <w:rPr>
          <w:color w:val="auto"/>
        </w:rPr>
        <w:t>. Data for denne KPI</w:t>
      </w:r>
      <w:r w:rsidR="0055190F" w:rsidRPr="00A1264D">
        <w:rPr>
          <w:color w:val="auto"/>
        </w:rPr>
        <w:t>-</w:t>
      </w:r>
      <w:r w:rsidRPr="00A1264D">
        <w:rPr>
          <w:color w:val="auto"/>
        </w:rPr>
        <w:t xml:space="preserve">en </w:t>
      </w:r>
      <w:r w:rsidR="004338F7" w:rsidRPr="00A1264D">
        <w:rPr>
          <w:color w:val="auto"/>
        </w:rPr>
        <w:t>h</w:t>
      </w:r>
      <w:r w:rsidR="004B1539" w:rsidRPr="00A1264D">
        <w:rPr>
          <w:color w:val="auto"/>
        </w:rPr>
        <w:t>entes fra indikatorer i medarbeiderundersøkelsen</w:t>
      </w:r>
      <w:r w:rsidR="00D05A74" w:rsidRPr="00A1264D">
        <w:rPr>
          <w:color w:val="auto"/>
        </w:rPr>
        <w:t xml:space="preserve"> (EES)</w:t>
      </w:r>
      <w:r w:rsidR="004B1539" w:rsidRPr="00A1264D">
        <w:rPr>
          <w:color w:val="auto"/>
        </w:rPr>
        <w:t>. Mangfold og Inkludering og Trivsel er viktige indikator</w:t>
      </w:r>
      <w:r w:rsidR="002E54CC" w:rsidRPr="00A1264D">
        <w:rPr>
          <w:color w:val="auto"/>
        </w:rPr>
        <w:t>er</w:t>
      </w:r>
      <w:r w:rsidR="004B1539" w:rsidRPr="00A1264D">
        <w:rPr>
          <w:color w:val="auto"/>
        </w:rPr>
        <w:t xml:space="preserve"> for denne </w:t>
      </w:r>
      <w:proofErr w:type="spellStart"/>
      <w:r w:rsidR="004B1539" w:rsidRPr="00A1264D">
        <w:rPr>
          <w:color w:val="auto"/>
        </w:rPr>
        <w:t>KPIen</w:t>
      </w:r>
      <w:proofErr w:type="spellEnd"/>
      <w:r w:rsidR="004B1539" w:rsidRPr="00A1264D">
        <w:rPr>
          <w:color w:val="auto"/>
        </w:rPr>
        <w:t>.</w:t>
      </w:r>
      <w:r w:rsidR="00613C9B" w:rsidRPr="00A1264D">
        <w:rPr>
          <w:color w:val="auto"/>
        </w:rPr>
        <w:t xml:space="preserve"> </w:t>
      </w:r>
    </w:p>
    <w:p w14:paraId="47201A68" w14:textId="77777777" w:rsidR="00807A61" w:rsidRDefault="00613C9B" w:rsidP="00A1264D">
      <w:pPr>
        <w:pStyle w:val="Listeavsnitt"/>
        <w:numPr>
          <w:ilvl w:val="0"/>
          <w:numId w:val="37"/>
        </w:numPr>
        <w:jc w:val="both"/>
        <w:rPr>
          <w:color w:val="auto"/>
        </w:rPr>
      </w:pPr>
      <w:r w:rsidRPr="00A1264D">
        <w:rPr>
          <w:color w:val="auto"/>
        </w:rPr>
        <w:t>Lederutviklingsprogram på alle nivåer skal omfatte trening og bevisstgjøring av mangfold og inkludering</w:t>
      </w:r>
      <w:r w:rsidR="006C2ABE" w:rsidRPr="00A1264D">
        <w:rPr>
          <w:color w:val="auto"/>
        </w:rPr>
        <w:t xml:space="preserve">. </w:t>
      </w:r>
    </w:p>
    <w:p w14:paraId="0610E264" w14:textId="1872673B" w:rsidR="00613C9B" w:rsidRPr="00807A61" w:rsidRDefault="006C2ABE" w:rsidP="00F864A1">
      <w:pPr>
        <w:pStyle w:val="Listeavsnitt"/>
        <w:numPr>
          <w:ilvl w:val="0"/>
          <w:numId w:val="37"/>
        </w:numPr>
        <w:jc w:val="both"/>
        <w:rPr>
          <w:color w:val="auto"/>
        </w:rPr>
      </w:pPr>
      <w:r w:rsidRPr="00A1264D">
        <w:rPr>
          <w:color w:val="auto"/>
        </w:rPr>
        <w:lastRenderedPageBreak/>
        <w:t>Ved ansettelse av ledere og spesialister skal det, der det er mulig, være minst en kvinne med i finalerunden. Dersom rekrutteringsfirma benyttes, skal disse informeres om policy.</w:t>
      </w:r>
    </w:p>
    <w:p w14:paraId="73BB61D8" w14:textId="6E697BE3" w:rsidR="00700232" w:rsidRPr="00A1264D" w:rsidRDefault="00700232" w:rsidP="00A1264D">
      <w:pPr>
        <w:pStyle w:val="Listeavsnitt"/>
        <w:numPr>
          <w:ilvl w:val="0"/>
          <w:numId w:val="37"/>
        </w:numPr>
        <w:spacing w:before="0"/>
        <w:jc w:val="both"/>
        <w:rPr>
          <w:rFonts w:eastAsia="Times New Roman"/>
          <w:color w:val="auto"/>
          <w:sz w:val="22"/>
        </w:rPr>
      </w:pPr>
      <w:r w:rsidRPr="00A1264D">
        <w:rPr>
          <w:rFonts w:eastAsia="Times New Roman"/>
        </w:rPr>
        <w:t>Verneutstyr/klær/sko som er tilpasset kvinner skal ligge i sortimentet og kunne bestilles</w:t>
      </w:r>
      <w:r w:rsidR="009F3EEB" w:rsidRPr="00A1264D">
        <w:rPr>
          <w:rFonts w:eastAsia="Times New Roman"/>
        </w:rPr>
        <w:t xml:space="preserve"> ved behov.</w:t>
      </w:r>
      <w:r w:rsidR="0062215A" w:rsidRPr="00A1264D">
        <w:rPr>
          <w:rFonts w:eastAsia="Times New Roman"/>
        </w:rPr>
        <w:t xml:space="preserve"> Så langt det er mulig skal det være egne toaletter/garderobefasiliteter for kvinner på anleggene og rom tilpasset amming.</w:t>
      </w:r>
    </w:p>
    <w:p w14:paraId="73C04D2B" w14:textId="77777777" w:rsidR="00F84C12" w:rsidRPr="005E3E33" w:rsidRDefault="00F84C12" w:rsidP="00F864A1">
      <w:pPr>
        <w:spacing w:before="0"/>
        <w:jc w:val="both"/>
        <w:rPr>
          <w:color w:val="767171" w:themeColor="background2" w:themeShade="80"/>
        </w:rPr>
      </w:pPr>
    </w:p>
    <w:p w14:paraId="50C09EE2" w14:textId="0F77D374" w:rsidR="00DE25DC" w:rsidRPr="005E3E33" w:rsidRDefault="002813E6" w:rsidP="00F864A1">
      <w:pPr>
        <w:spacing w:before="0"/>
        <w:contextualSpacing/>
        <w:jc w:val="both"/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</w:pPr>
      <w:r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I 202</w:t>
      </w:r>
      <w:r w:rsidR="00472DDD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4</w:t>
      </w:r>
      <w:r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ønsker</w:t>
      </w:r>
      <w:r w:rsidR="009F734A"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 xml:space="preserve"> NG-</w:t>
      </w:r>
      <w:r w:rsidRPr="005E3E33">
        <w:rPr>
          <w:rFonts w:asciiTheme="majorHAnsi" w:eastAsiaTheme="majorEastAsia" w:hAnsiTheme="majorHAnsi" w:cstheme="majorBidi"/>
          <w:i/>
          <w:iCs/>
          <w:color w:val="7BA88B" w:themeColor="accent1" w:themeShade="BF"/>
        </w:rPr>
        <w:t>konsernet å følge opp følgende tiltak:</w:t>
      </w:r>
    </w:p>
    <w:p w14:paraId="05A6E29A" w14:textId="09B48152" w:rsidR="00F17C27" w:rsidRDefault="00472DDD" w:rsidP="00F864A1">
      <w:pPr>
        <w:pStyle w:val="Listeavsnit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Videreføre kvinneundersøkelsen</w:t>
      </w:r>
      <w:r w:rsidR="001A1292">
        <w:rPr>
          <w:color w:val="auto"/>
        </w:rPr>
        <w:t xml:space="preserve"> for å måle effekten av tiltak og identifisere </w:t>
      </w:r>
      <w:r w:rsidR="00D574B4">
        <w:rPr>
          <w:color w:val="auto"/>
        </w:rPr>
        <w:t xml:space="preserve">andre </w:t>
      </w:r>
      <w:r w:rsidR="001A1292">
        <w:rPr>
          <w:color w:val="auto"/>
        </w:rPr>
        <w:t>problemområder</w:t>
      </w:r>
      <w:r w:rsidR="00D574B4">
        <w:rPr>
          <w:color w:val="auto"/>
        </w:rPr>
        <w:t xml:space="preserve"> for videre oppfølging</w:t>
      </w:r>
    </w:p>
    <w:p w14:paraId="75EC00FB" w14:textId="46E6E7A4" w:rsidR="00472DDD" w:rsidRDefault="00472DDD" w:rsidP="00F864A1">
      <w:pPr>
        <w:pStyle w:val="Listeavsnit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Videreføre medarbeiderundersøkelsen (EES)</w:t>
      </w:r>
      <w:r w:rsidR="004A2192">
        <w:rPr>
          <w:color w:val="auto"/>
        </w:rPr>
        <w:t xml:space="preserve">, </w:t>
      </w:r>
      <w:r w:rsidR="00E96D84">
        <w:rPr>
          <w:color w:val="auto"/>
        </w:rPr>
        <w:t>måle effekten av forbedringsaktivitetene basert på resultatene fra 2023</w:t>
      </w:r>
      <w:r w:rsidR="00D843F8">
        <w:rPr>
          <w:color w:val="auto"/>
        </w:rPr>
        <w:t>,</w:t>
      </w:r>
      <w:r w:rsidR="006A63A8">
        <w:rPr>
          <w:color w:val="auto"/>
        </w:rPr>
        <w:t xml:space="preserve"> og </w:t>
      </w:r>
      <w:r w:rsidR="0026704A">
        <w:rPr>
          <w:color w:val="auto"/>
        </w:rPr>
        <w:t>etablere nye utviklingsaktivite</w:t>
      </w:r>
      <w:r w:rsidR="005869CE">
        <w:rPr>
          <w:color w:val="auto"/>
        </w:rPr>
        <w:t>ter</w:t>
      </w:r>
      <w:r w:rsidR="00D843F8">
        <w:rPr>
          <w:color w:val="auto"/>
        </w:rPr>
        <w:t xml:space="preserve"> basert på 2024 resultatene</w:t>
      </w:r>
      <w:r w:rsidR="005869CE">
        <w:rPr>
          <w:color w:val="auto"/>
        </w:rPr>
        <w:t xml:space="preserve"> </w:t>
      </w:r>
      <w:r w:rsidR="000632DA">
        <w:rPr>
          <w:color w:val="auto"/>
        </w:rPr>
        <w:t>godt forankret i</w:t>
      </w:r>
      <w:r w:rsidR="005869CE">
        <w:rPr>
          <w:color w:val="auto"/>
        </w:rPr>
        <w:t xml:space="preserve"> konsernets </w:t>
      </w:r>
      <w:r w:rsidR="009D5906">
        <w:rPr>
          <w:color w:val="auto"/>
        </w:rPr>
        <w:t xml:space="preserve">overordnede </w:t>
      </w:r>
      <w:r w:rsidR="005869CE">
        <w:rPr>
          <w:color w:val="auto"/>
        </w:rPr>
        <w:t>mangfold og inkluderingsagenda.</w:t>
      </w:r>
    </w:p>
    <w:p w14:paraId="6534C1BA" w14:textId="79281523" w:rsidR="00472DDD" w:rsidRDefault="00E96D84" w:rsidP="00F864A1">
      <w:pPr>
        <w:pStyle w:val="Listeavsnit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V</w:t>
      </w:r>
      <w:r w:rsidR="00D233D8">
        <w:rPr>
          <w:color w:val="auto"/>
        </w:rPr>
        <w:t>idereføre man</w:t>
      </w:r>
      <w:r>
        <w:rPr>
          <w:color w:val="auto"/>
        </w:rPr>
        <w:t>g</w:t>
      </w:r>
      <w:r w:rsidR="00D233D8">
        <w:rPr>
          <w:color w:val="auto"/>
        </w:rPr>
        <w:t xml:space="preserve">fold og inkluderingsfokuset i </w:t>
      </w:r>
      <w:proofErr w:type="spellStart"/>
      <w:r w:rsidR="00D233D8">
        <w:rPr>
          <w:color w:val="auto"/>
        </w:rPr>
        <w:t>YouNG</w:t>
      </w:r>
      <w:proofErr w:type="spellEnd"/>
      <w:r w:rsidR="00D233D8">
        <w:rPr>
          <w:color w:val="auto"/>
        </w:rPr>
        <w:t xml:space="preserve"> nettverket</w:t>
      </w:r>
      <w:r w:rsidR="009E6FB8">
        <w:rPr>
          <w:color w:val="auto"/>
        </w:rPr>
        <w:t xml:space="preserve"> (nettverk for våre ansatte mellom 18-35 år)</w:t>
      </w:r>
      <w:r w:rsidR="003916ED">
        <w:rPr>
          <w:color w:val="auto"/>
        </w:rPr>
        <w:t xml:space="preserve">. Viktig at våre fremtidige ledere og </w:t>
      </w:r>
      <w:r w:rsidR="006C452F">
        <w:rPr>
          <w:color w:val="auto"/>
        </w:rPr>
        <w:t xml:space="preserve">ansatte </w:t>
      </w:r>
      <w:r w:rsidR="00467869">
        <w:rPr>
          <w:color w:val="auto"/>
        </w:rPr>
        <w:t xml:space="preserve">ser verdien av å </w:t>
      </w:r>
      <w:r w:rsidR="006C452F">
        <w:rPr>
          <w:color w:val="auto"/>
        </w:rPr>
        <w:t xml:space="preserve">sette mangfold </w:t>
      </w:r>
      <w:r w:rsidR="003305FF">
        <w:rPr>
          <w:color w:val="auto"/>
        </w:rPr>
        <w:t xml:space="preserve">og inkludering </w:t>
      </w:r>
      <w:r w:rsidR="006C452F">
        <w:rPr>
          <w:color w:val="auto"/>
        </w:rPr>
        <w:t>på toppen av agendaen.</w:t>
      </w:r>
    </w:p>
    <w:p w14:paraId="5BCD9357" w14:textId="7EF23035" w:rsidR="00DE25DC" w:rsidRPr="004834B6" w:rsidRDefault="00FE7A9C" w:rsidP="00F864A1">
      <w:pPr>
        <w:pStyle w:val="Listeavsnit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F</w:t>
      </w:r>
      <w:r w:rsidR="006632AA">
        <w:rPr>
          <w:color w:val="auto"/>
        </w:rPr>
        <w:t xml:space="preserve">ortsette å løfte </w:t>
      </w:r>
      <w:r>
        <w:rPr>
          <w:color w:val="auto"/>
        </w:rPr>
        <w:t>frem gode historier internt om f.eks. kvinnelige operatører/sjåfører</w:t>
      </w:r>
      <w:r w:rsidR="00A254ED">
        <w:rPr>
          <w:color w:val="auto"/>
        </w:rPr>
        <w:t>.</w:t>
      </w:r>
    </w:p>
    <w:sectPr w:rsidR="00DE25DC" w:rsidRPr="004834B6" w:rsidSect="006A75A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3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04F3" w14:textId="77777777" w:rsidR="00802C8E" w:rsidRDefault="00802C8E" w:rsidP="0077301A">
      <w:r>
        <w:separator/>
      </w:r>
    </w:p>
  </w:endnote>
  <w:endnote w:type="continuationSeparator" w:id="0">
    <w:p w14:paraId="7E2CD4BA" w14:textId="77777777" w:rsidR="00802C8E" w:rsidRDefault="00802C8E" w:rsidP="0077301A">
      <w:r>
        <w:continuationSeparator/>
      </w:r>
    </w:p>
  </w:endnote>
  <w:endnote w:type="continuationNotice" w:id="1">
    <w:p w14:paraId="5DAEED4D" w14:textId="77777777" w:rsidR="00802C8E" w:rsidRDefault="00802C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817D" w14:textId="47BE4BB8" w:rsidR="00787542" w:rsidRDefault="00C87CD8" w:rsidP="006A75AC">
    <w:pPr>
      <w:pBdr>
        <w:bottom w:val="single" w:sz="4" w:space="1" w:color="auto"/>
      </w:pBdr>
      <w:tabs>
        <w:tab w:val="center" w:pos="4550"/>
        <w:tab w:val="left" w:pos="5818"/>
      </w:tabs>
      <w:ind w:right="260"/>
      <w:jc w:val="right"/>
      <w:rPr>
        <w:color w:val="1F1F1F" w:themeColor="text2" w:themeShade="80"/>
        <w:szCs w:val="24"/>
      </w:rPr>
    </w:pPr>
    <w:r>
      <w:rPr>
        <w:color w:val="8D898D" w:themeColor="text2" w:themeTint="99"/>
        <w:spacing w:val="60"/>
        <w:szCs w:val="24"/>
      </w:rPr>
      <w:t>side</w:t>
    </w:r>
    <w:r w:rsidR="00787542">
      <w:rPr>
        <w:color w:val="8D898D" w:themeColor="text2" w:themeTint="99"/>
        <w:szCs w:val="24"/>
      </w:rPr>
      <w:t xml:space="preserve"> </w:t>
    </w:r>
    <w:r w:rsidR="00787542">
      <w:rPr>
        <w:color w:val="2F2E2F" w:themeColor="text2" w:themeShade="BF"/>
        <w:szCs w:val="24"/>
      </w:rPr>
      <w:fldChar w:fldCharType="begin"/>
    </w:r>
    <w:r w:rsidR="00787542">
      <w:rPr>
        <w:color w:val="2F2E2F" w:themeColor="text2" w:themeShade="BF"/>
        <w:szCs w:val="24"/>
      </w:rPr>
      <w:instrText xml:space="preserve"> PAGE   \* MERGEFORMAT </w:instrText>
    </w:r>
    <w:r w:rsidR="00787542">
      <w:rPr>
        <w:color w:val="2F2E2F" w:themeColor="text2" w:themeShade="BF"/>
        <w:szCs w:val="24"/>
      </w:rPr>
      <w:fldChar w:fldCharType="separate"/>
    </w:r>
    <w:r w:rsidR="00787542">
      <w:rPr>
        <w:noProof/>
        <w:color w:val="2F2E2F" w:themeColor="text2" w:themeShade="BF"/>
        <w:szCs w:val="24"/>
      </w:rPr>
      <w:t>1</w:t>
    </w:r>
    <w:r w:rsidR="00787542">
      <w:rPr>
        <w:color w:val="2F2E2F" w:themeColor="text2" w:themeShade="BF"/>
        <w:szCs w:val="24"/>
      </w:rPr>
      <w:fldChar w:fldCharType="end"/>
    </w:r>
    <w:r w:rsidR="00787542">
      <w:rPr>
        <w:color w:val="2F2E2F" w:themeColor="text2" w:themeShade="BF"/>
        <w:szCs w:val="24"/>
      </w:rPr>
      <w:t xml:space="preserve"> | </w:t>
    </w:r>
    <w:r w:rsidR="00787542">
      <w:rPr>
        <w:color w:val="2F2E2F" w:themeColor="text2" w:themeShade="BF"/>
        <w:szCs w:val="24"/>
      </w:rPr>
      <w:fldChar w:fldCharType="begin"/>
    </w:r>
    <w:r w:rsidR="00787542">
      <w:rPr>
        <w:color w:val="2F2E2F" w:themeColor="text2" w:themeShade="BF"/>
        <w:szCs w:val="24"/>
      </w:rPr>
      <w:instrText xml:space="preserve"> NUMPAGES  \* Arabic  \* MERGEFORMAT </w:instrText>
    </w:r>
    <w:r w:rsidR="00787542">
      <w:rPr>
        <w:color w:val="2F2E2F" w:themeColor="text2" w:themeShade="BF"/>
        <w:szCs w:val="24"/>
      </w:rPr>
      <w:fldChar w:fldCharType="separate"/>
    </w:r>
    <w:r w:rsidR="00787542">
      <w:rPr>
        <w:noProof/>
        <w:color w:val="2F2E2F" w:themeColor="text2" w:themeShade="BF"/>
        <w:szCs w:val="24"/>
      </w:rPr>
      <w:t>1</w:t>
    </w:r>
    <w:r w:rsidR="00787542">
      <w:rPr>
        <w:color w:val="2F2E2F" w:themeColor="text2" w:themeShade="BF"/>
        <w:szCs w:val="24"/>
      </w:rPr>
      <w:fldChar w:fldCharType="end"/>
    </w:r>
  </w:p>
  <w:p w14:paraId="794F9C27" w14:textId="37CC684A" w:rsidR="00787542" w:rsidRDefault="00624E05">
    <w:pPr>
      <w:pStyle w:val="Bunntekst"/>
    </w:pPr>
    <w:r w:rsidRPr="00624E05">
      <w:t>Aktivitets- og redegjørelsesplikt (ARP)</w:t>
    </w:r>
    <w:r>
      <w:t xml:space="preserve"> – NG Group </w:t>
    </w:r>
    <w:r w:rsidR="003C4DC7">
      <w:t>Norge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1A06" w14:textId="77777777" w:rsidR="00802C8E" w:rsidRDefault="00802C8E" w:rsidP="0077301A">
      <w:r>
        <w:separator/>
      </w:r>
    </w:p>
  </w:footnote>
  <w:footnote w:type="continuationSeparator" w:id="0">
    <w:p w14:paraId="2FBFD482" w14:textId="77777777" w:rsidR="00802C8E" w:rsidRDefault="00802C8E" w:rsidP="0077301A">
      <w:r>
        <w:continuationSeparator/>
      </w:r>
    </w:p>
  </w:footnote>
  <w:footnote w:type="continuationNotice" w:id="1">
    <w:p w14:paraId="0A0104B3" w14:textId="77777777" w:rsidR="00802C8E" w:rsidRDefault="00802C8E">
      <w:pPr>
        <w:spacing w:before="0"/>
      </w:pPr>
    </w:p>
  </w:footnote>
  <w:footnote w:id="2">
    <w:p w14:paraId="31D4AD52" w14:textId="280CDE35" w:rsidR="00200971" w:rsidRPr="00461133" w:rsidRDefault="00200971" w:rsidP="00200971">
      <w:pPr>
        <w:spacing w:before="0"/>
        <w:rPr>
          <w:color w:val="auto"/>
          <w:sz w:val="22"/>
          <w:szCs w:val="22"/>
        </w:rPr>
      </w:pPr>
      <w:r w:rsidRPr="00F05F11">
        <w:rPr>
          <w:rStyle w:val="Fotnotereferanse"/>
          <w:sz w:val="20"/>
        </w:rPr>
        <w:footnoteRef/>
      </w:r>
      <w:r w:rsidRPr="00F05F11">
        <w:rPr>
          <w:sz w:val="20"/>
        </w:rPr>
        <w:t xml:space="preserve"> </w:t>
      </w:r>
      <w:r w:rsidRPr="00F05F11">
        <w:rPr>
          <w:color w:val="auto"/>
          <w:sz w:val="20"/>
        </w:rPr>
        <w:t xml:space="preserve">Totalt i hele NG-konsernet </w:t>
      </w:r>
      <w:r w:rsidR="0021400C" w:rsidRPr="00F05F11">
        <w:rPr>
          <w:color w:val="auto"/>
          <w:sz w:val="20"/>
        </w:rPr>
        <w:t>global pr</w:t>
      </w:r>
      <w:r w:rsidR="00037E80" w:rsidRPr="00F05F11">
        <w:rPr>
          <w:color w:val="auto"/>
          <w:sz w:val="20"/>
        </w:rPr>
        <w:t xml:space="preserve"> 31.12.2023</w:t>
      </w:r>
      <w:r w:rsidRPr="00F05F11">
        <w:rPr>
          <w:color w:val="auto"/>
          <w:sz w:val="20"/>
        </w:rPr>
        <w:t xml:space="preserve">, var det totalt </w:t>
      </w:r>
      <w:r w:rsidR="007661CC" w:rsidRPr="00F05F11">
        <w:rPr>
          <w:color w:val="auto"/>
          <w:sz w:val="20"/>
        </w:rPr>
        <w:t>2277</w:t>
      </w:r>
      <w:r w:rsidRPr="00F05F11">
        <w:rPr>
          <w:color w:val="auto"/>
          <w:sz w:val="20"/>
        </w:rPr>
        <w:t xml:space="preserve"> medarbeidere, og en kvinneandel på 17 prosent på samme tidspunkt. Dette inkluderer selskaper og arbeidstakere utenfor Norge; hhv </w:t>
      </w:r>
      <w:r w:rsidR="007661CC" w:rsidRPr="00F05F11">
        <w:rPr>
          <w:color w:val="auto"/>
          <w:sz w:val="20"/>
        </w:rPr>
        <w:t xml:space="preserve">Danmark, </w:t>
      </w:r>
      <w:r w:rsidRPr="00F05F11">
        <w:rPr>
          <w:color w:val="auto"/>
          <w:sz w:val="20"/>
        </w:rPr>
        <w:t xml:space="preserve">Sverige, </w:t>
      </w:r>
      <w:r w:rsidR="007661CC" w:rsidRPr="00F05F11">
        <w:rPr>
          <w:color w:val="auto"/>
          <w:sz w:val="20"/>
        </w:rPr>
        <w:t xml:space="preserve">Finland, </w:t>
      </w:r>
      <w:r w:rsidRPr="00F05F11">
        <w:rPr>
          <w:color w:val="auto"/>
          <w:sz w:val="20"/>
        </w:rPr>
        <w:t xml:space="preserve">Polen og Storbritannia. Øvrige tall for konsernet som helhet er redegjort for i NG Groups års- og </w:t>
      </w:r>
      <w:r w:rsidR="00F05F11" w:rsidRPr="00F05F11">
        <w:rPr>
          <w:color w:val="auto"/>
          <w:sz w:val="20"/>
        </w:rPr>
        <w:t>bærekrafts rapport</w:t>
      </w:r>
      <w:r w:rsidRPr="00F05F11">
        <w:rPr>
          <w:color w:val="auto"/>
          <w:sz w:val="20"/>
        </w:rPr>
        <w:t xml:space="preserve"> for 202</w:t>
      </w:r>
      <w:r w:rsidR="007661CC" w:rsidRPr="00F05F11">
        <w:rPr>
          <w:color w:val="auto"/>
          <w:sz w:val="20"/>
        </w:rPr>
        <w:t>3</w:t>
      </w:r>
      <w:r w:rsidRPr="00B4146B">
        <w:rPr>
          <w:color w:val="auto"/>
          <w:sz w:val="22"/>
          <w:szCs w:val="22"/>
        </w:rPr>
        <w:t>.</w:t>
      </w:r>
      <w:r w:rsidRPr="00461133">
        <w:rPr>
          <w:color w:val="auto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1937" w14:textId="63DF6284" w:rsidR="00787542" w:rsidRPr="00FB3588" w:rsidRDefault="00FB3588" w:rsidP="006A75AC">
    <w:pPr>
      <w:pStyle w:val="Topptekst"/>
      <w:pBdr>
        <w:bottom w:val="single" w:sz="4" w:space="1" w:color="auto"/>
      </w:pBdr>
      <w:tabs>
        <w:tab w:val="clear" w:pos="4680"/>
        <w:tab w:val="clear" w:pos="9360"/>
        <w:tab w:val="left" w:pos="3715"/>
      </w:tabs>
    </w:pPr>
    <w:r>
      <w:rPr>
        <w:noProof/>
      </w:rPr>
      <w:drawing>
        <wp:inline distT="0" distB="0" distL="0" distR="0" wp14:anchorId="647E9B05" wp14:editId="680DF52B">
          <wp:extent cx="485775" cy="60007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5A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E8BC" w14:textId="77777777" w:rsidR="00DE25DC" w:rsidRDefault="00DE25DC">
    <w:pPr>
      <w:pStyle w:val="Topptekst"/>
    </w:pPr>
    <w:r w:rsidRPr="005B0FCB">
      <w:rPr>
        <w:noProof/>
      </w:rPr>
      <w:drawing>
        <wp:anchor distT="0" distB="0" distL="114300" distR="114300" simplePos="0" relativeHeight="251658240" behindDoc="1" locked="0" layoutInCell="1" allowOverlap="1" wp14:anchorId="2207FEA6" wp14:editId="27C0F1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9115"/>
          <wp:effectExtent l="0" t="0" r="3175" b="698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225DC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7731B"/>
    <w:multiLevelType w:val="hybridMultilevel"/>
    <w:tmpl w:val="81BC6B0C"/>
    <w:lvl w:ilvl="0" w:tplc="103AC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46F"/>
    <w:multiLevelType w:val="multilevel"/>
    <w:tmpl w:val="40A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542068"/>
    <w:multiLevelType w:val="hybridMultilevel"/>
    <w:tmpl w:val="EFB8FC56"/>
    <w:lvl w:ilvl="0" w:tplc="A4528F62">
      <w:start w:val="1"/>
      <w:numFmt w:val="lowerLetter"/>
      <w:pStyle w:val="Punktlistealfanumerisk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F03"/>
    <w:multiLevelType w:val="hybridMultilevel"/>
    <w:tmpl w:val="EFA4F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3CDE"/>
    <w:multiLevelType w:val="hybridMultilevel"/>
    <w:tmpl w:val="91AC045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B87737"/>
    <w:multiLevelType w:val="hybridMultilevel"/>
    <w:tmpl w:val="8954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6915"/>
    <w:multiLevelType w:val="multilevel"/>
    <w:tmpl w:val="46B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E303F"/>
    <w:multiLevelType w:val="hybridMultilevel"/>
    <w:tmpl w:val="1ECCE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5708"/>
    <w:multiLevelType w:val="hybridMultilevel"/>
    <w:tmpl w:val="8B2A6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36B96"/>
    <w:multiLevelType w:val="hybridMultilevel"/>
    <w:tmpl w:val="6130D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A3B19"/>
    <w:multiLevelType w:val="hybridMultilevel"/>
    <w:tmpl w:val="EED88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75"/>
    <w:multiLevelType w:val="hybridMultilevel"/>
    <w:tmpl w:val="85E4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3BA"/>
    <w:multiLevelType w:val="hybridMultilevel"/>
    <w:tmpl w:val="017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F0D"/>
    <w:multiLevelType w:val="hybridMultilevel"/>
    <w:tmpl w:val="29B6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2917"/>
    <w:multiLevelType w:val="hybridMultilevel"/>
    <w:tmpl w:val="FE581E2C"/>
    <w:lvl w:ilvl="0" w:tplc="1A42998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158C"/>
    <w:multiLevelType w:val="hybridMultilevel"/>
    <w:tmpl w:val="82069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71BA3"/>
    <w:multiLevelType w:val="hybridMultilevel"/>
    <w:tmpl w:val="D2047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1AE1"/>
    <w:multiLevelType w:val="hybridMultilevel"/>
    <w:tmpl w:val="E1D0A328"/>
    <w:lvl w:ilvl="0" w:tplc="C8BA43A6">
      <w:start w:val="1"/>
      <w:numFmt w:val="bullet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8748E"/>
    <w:multiLevelType w:val="hybridMultilevel"/>
    <w:tmpl w:val="6CA0D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5C1E"/>
    <w:multiLevelType w:val="hybridMultilevel"/>
    <w:tmpl w:val="7CDA4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308B1"/>
    <w:multiLevelType w:val="hybridMultilevel"/>
    <w:tmpl w:val="30465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42FA5"/>
    <w:multiLevelType w:val="multilevel"/>
    <w:tmpl w:val="286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A6F92"/>
    <w:multiLevelType w:val="hybridMultilevel"/>
    <w:tmpl w:val="D77AFD4C"/>
    <w:lvl w:ilvl="0" w:tplc="26C6D3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90F"/>
    <w:multiLevelType w:val="hybridMultilevel"/>
    <w:tmpl w:val="6F06D0A6"/>
    <w:lvl w:ilvl="0" w:tplc="A3CE98D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54550"/>
    <w:multiLevelType w:val="hybridMultilevel"/>
    <w:tmpl w:val="2F368A42"/>
    <w:lvl w:ilvl="0" w:tplc="C8BA43A6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D0101"/>
    <w:multiLevelType w:val="hybridMultilevel"/>
    <w:tmpl w:val="7E4E0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61838"/>
    <w:multiLevelType w:val="multilevel"/>
    <w:tmpl w:val="833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9A1C27"/>
    <w:multiLevelType w:val="multilevel"/>
    <w:tmpl w:val="7BB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04EE5"/>
    <w:multiLevelType w:val="hybridMultilevel"/>
    <w:tmpl w:val="F7D67D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687"/>
    <w:multiLevelType w:val="hybridMultilevel"/>
    <w:tmpl w:val="EAD0CE36"/>
    <w:lvl w:ilvl="0" w:tplc="0006567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A4E16"/>
    <w:multiLevelType w:val="hybridMultilevel"/>
    <w:tmpl w:val="271CD76A"/>
    <w:lvl w:ilvl="0" w:tplc="B0AC5BD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671DE"/>
    <w:multiLevelType w:val="hybridMultilevel"/>
    <w:tmpl w:val="3DA09E32"/>
    <w:lvl w:ilvl="0" w:tplc="6624F80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81EDD"/>
    <w:multiLevelType w:val="hybridMultilevel"/>
    <w:tmpl w:val="6B10B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2492F"/>
    <w:multiLevelType w:val="hybridMultilevel"/>
    <w:tmpl w:val="64D84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0067"/>
    <w:multiLevelType w:val="multilevel"/>
    <w:tmpl w:val="473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66485E"/>
    <w:multiLevelType w:val="hybridMultilevel"/>
    <w:tmpl w:val="326EFD4E"/>
    <w:lvl w:ilvl="0" w:tplc="C916F4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A570E"/>
    <w:multiLevelType w:val="hybridMultilevel"/>
    <w:tmpl w:val="E8CEC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23650"/>
    <w:multiLevelType w:val="multilevel"/>
    <w:tmpl w:val="993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540469">
    <w:abstractNumId w:val="0"/>
  </w:num>
  <w:num w:numId="2" w16cid:durableId="2095321417">
    <w:abstractNumId w:val="3"/>
  </w:num>
  <w:num w:numId="3" w16cid:durableId="2102801139">
    <w:abstractNumId w:val="5"/>
  </w:num>
  <w:num w:numId="4" w16cid:durableId="1606495175">
    <w:abstractNumId w:val="1"/>
  </w:num>
  <w:num w:numId="5" w16cid:durableId="403263446">
    <w:abstractNumId w:val="11"/>
  </w:num>
  <w:num w:numId="6" w16cid:durableId="71125219">
    <w:abstractNumId w:val="19"/>
  </w:num>
  <w:num w:numId="7" w16cid:durableId="1515655000">
    <w:abstractNumId w:val="34"/>
  </w:num>
  <w:num w:numId="8" w16cid:durableId="900674691">
    <w:abstractNumId w:val="33"/>
  </w:num>
  <w:num w:numId="9" w16cid:durableId="500320861">
    <w:abstractNumId w:val="29"/>
  </w:num>
  <w:num w:numId="10" w16cid:durableId="2016104656">
    <w:abstractNumId w:val="4"/>
  </w:num>
  <w:num w:numId="11" w16cid:durableId="470752110">
    <w:abstractNumId w:val="37"/>
  </w:num>
  <w:num w:numId="12" w16cid:durableId="935864095">
    <w:abstractNumId w:val="16"/>
  </w:num>
  <w:num w:numId="13" w16cid:durableId="2014839249">
    <w:abstractNumId w:val="17"/>
  </w:num>
  <w:num w:numId="14" w16cid:durableId="110563240">
    <w:abstractNumId w:val="9"/>
  </w:num>
  <w:num w:numId="15" w16cid:durableId="912088815">
    <w:abstractNumId w:val="21"/>
  </w:num>
  <w:num w:numId="16" w16cid:durableId="1584145042">
    <w:abstractNumId w:val="26"/>
  </w:num>
  <w:num w:numId="17" w16cid:durableId="1824814400">
    <w:abstractNumId w:val="28"/>
  </w:num>
  <w:num w:numId="18" w16cid:durableId="1042635514">
    <w:abstractNumId w:val="35"/>
  </w:num>
  <w:num w:numId="19" w16cid:durableId="530647310">
    <w:abstractNumId w:val="20"/>
  </w:num>
  <w:num w:numId="20" w16cid:durableId="1691759217">
    <w:abstractNumId w:val="10"/>
  </w:num>
  <w:num w:numId="21" w16cid:durableId="1981566717">
    <w:abstractNumId w:val="38"/>
  </w:num>
  <w:num w:numId="22" w16cid:durableId="1519542220">
    <w:abstractNumId w:val="27"/>
  </w:num>
  <w:num w:numId="23" w16cid:durableId="1134181116">
    <w:abstractNumId w:val="8"/>
  </w:num>
  <w:num w:numId="24" w16cid:durableId="1260018265">
    <w:abstractNumId w:val="36"/>
  </w:num>
  <w:num w:numId="25" w16cid:durableId="863984792">
    <w:abstractNumId w:val="30"/>
  </w:num>
  <w:num w:numId="26" w16cid:durableId="694964733">
    <w:abstractNumId w:val="32"/>
  </w:num>
  <w:num w:numId="27" w16cid:durableId="520164478">
    <w:abstractNumId w:val="18"/>
  </w:num>
  <w:num w:numId="28" w16cid:durableId="713845808">
    <w:abstractNumId w:val="25"/>
  </w:num>
  <w:num w:numId="29" w16cid:durableId="1460416185">
    <w:abstractNumId w:val="31"/>
  </w:num>
  <w:num w:numId="30" w16cid:durableId="1304699967">
    <w:abstractNumId w:val="24"/>
  </w:num>
  <w:num w:numId="31" w16cid:durableId="1352024853">
    <w:abstractNumId w:val="12"/>
  </w:num>
  <w:num w:numId="32" w16cid:durableId="1153721670">
    <w:abstractNumId w:val="15"/>
  </w:num>
  <w:num w:numId="33" w16cid:durableId="1618020305">
    <w:abstractNumId w:val="23"/>
  </w:num>
  <w:num w:numId="34" w16cid:durableId="335890010">
    <w:abstractNumId w:val="7"/>
  </w:num>
  <w:num w:numId="35" w16cid:durableId="1925332046">
    <w:abstractNumId w:val="22"/>
  </w:num>
  <w:num w:numId="36" w16cid:durableId="502671449">
    <w:abstractNumId w:val="2"/>
  </w:num>
  <w:num w:numId="37" w16cid:durableId="1048725552">
    <w:abstractNumId w:val="6"/>
  </w:num>
  <w:num w:numId="38" w16cid:durableId="1067336929">
    <w:abstractNumId w:val="13"/>
  </w:num>
  <w:num w:numId="39" w16cid:durableId="1656835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E"/>
    <w:rsid w:val="000005A3"/>
    <w:rsid w:val="0000281E"/>
    <w:rsid w:val="0000416E"/>
    <w:rsid w:val="00004288"/>
    <w:rsid w:val="00007F1A"/>
    <w:rsid w:val="00011503"/>
    <w:rsid w:val="000131C5"/>
    <w:rsid w:val="00013502"/>
    <w:rsid w:val="00013733"/>
    <w:rsid w:val="00014456"/>
    <w:rsid w:val="00014B7B"/>
    <w:rsid w:val="00014C38"/>
    <w:rsid w:val="00015178"/>
    <w:rsid w:val="000155F7"/>
    <w:rsid w:val="00016B93"/>
    <w:rsid w:val="00016CEA"/>
    <w:rsid w:val="00016E71"/>
    <w:rsid w:val="00017EB9"/>
    <w:rsid w:val="00017F84"/>
    <w:rsid w:val="00020439"/>
    <w:rsid w:val="00020AC1"/>
    <w:rsid w:val="00021B96"/>
    <w:rsid w:val="000223DD"/>
    <w:rsid w:val="00022841"/>
    <w:rsid w:val="000238FB"/>
    <w:rsid w:val="00023987"/>
    <w:rsid w:val="00023E27"/>
    <w:rsid w:val="00025B9B"/>
    <w:rsid w:val="000266C3"/>
    <w:rsid w:val="000302EE"/>
    <w:rsid w:val="0003127F"/>
    <w:rsid w:val="00031991"/>
    <w:rsid w:val="00032C65"/>
    <w:rsid w:val="00032D1D"/>
    <w:rsid w:val="00033BE2"/>
    <w:rsid w:val="000345CD"/>
    <w:rsid w:val="00034AC8"/>
    <w:rsid w:val="00035137"/>
    <w:rsid w:val="00035D81"/>
    <w:rsid w:val="00037A91"/>
    <w:rsid w:val="00037E80"/>
    <w:rsid w:val="000409A9"/>
    <w:rsid w:val="00041592"/>
    <w:rsid w:val="000421BD"/>
    <w:rsid w:val="000424F6"/>
    <w:rsid w:val="00043FB6"/>
    <w:rsid w:val="00044074"/>
    <w:rsid w:val="00045840"/>
    <w:rsid w:val="00047364"/>
    <w:rsid w:val="00047795"/>
    <w:rsid w:val="000479B4"/>
    <w:rsid w:val="00047D2D"/>
    <w:rsid w:val="00050558"/>
    <w:rsid w:val="000522AE"/>
    <w:rsid w:val="00052570"/>
    <w:rsid w:val="00052C4D"/>
    <w:rsid w:val="000533C0"/>
    <w:rsid w:val="000538E0"/>
    <w:rsid w:val="0005421B"/>
    <w:rsid w:val="000553F8"/>
    <w:rsid w:val="000555F4"/>
    <w:rsid w:val="00055805"/>
    <w:rsid w:val="00056063"/>
    <w:rsid w:val="00056B23"/>
    <w:rsid w:val="00060EA4"/>
    <w:rsid w:val="00061104"/>
    <w:rsid w:val="000630D7"/>
    <w:rsid w:val="000632DA"/>
    <w:rsid w:val="0006784F"/>
    <w:rsid w:val="00067990"/>
    <w:rsid w:val="00070DA5"/>
    <w:rsid w:val="00072FE0"/>
    <w:rsid w:val="00073421"/>
    <w:rsid w:val="00073E31"/>
    <w:rsid w:val="000740CF"/>
    <w:rsid w:val="000743A0"/>
    <w:rsid w:val="00074472"/>
    <w:rsid w:val="00074EC1"/>
    <w:rsid w:val="000763DD"/>
    <w:rsid w:val="00076FF8"/>
    <w:rsid w:val="00077F27"/>
    <w:rsid w:val="00082873"/>
    <w:rsid w:val="00085D75"/>
    <w:rsid w:val="00087088"/>
    <w:rsid w:val="00087787"/>
    <w:rsid w:val="000877A5"/>
    <w:rsid w:val="000921B8"/>
    <w:rsid w:val="00092571"/>
    <w:rsid w:val="00092960"/>
    <w:rsid w:val="00095621"/>
    <w:rsid w:val="00097BC5"/>
    <w:rsid w:val="000A32EC"/>
    <w:rsid w:val="000A3543"/>
    <w:rsid w:val="000A4273"/>
    <w:rsid w:val="000A710A"/>
    <w:rsid w:val="000B0846"/>
    <w:rsid w:val="000B0C17"/>
    <w:rsid w:val="000B22AA"/>
    <w:rsid w:val="000B3C75"/>
    <w:rsid w:val="000B3F0C"/>
    <w:rsid w:val="000B40F6"/>
    <w:rsid w:val="000B4BB2"/>
    <w:rsid w:val="000B74ED"/>
    <w:rsid w:val="000B74F6"/>
    <w:rsid w:val="000B797C"/>
    <w:rsid w:val="000B7A2D"/>
    <w:rsid w:val="000B7D37"/>
    <w:rsid w:val="000C0242"/>
    <w:rsid w:val="000C06A4"/>
    <w:rsid w:val="000C14FF"/>
    <w:rsid w:val="000C25E0"/>
    <w:rsid w:val="000C2DE2"/>
    <w:rsid w:val="000C3505"/>
    <w:rsid w:val="000C52F4"/>
    <w:rsid w:val="000C6115"/>
    <w:rsid w:val="000C7452"/>
    <w:rsid w:val="000C7C18"/>
    <w:rsid w:val="000D19EE"/>
    <w:rsid w:val="000D247A"/>
    <w:rsid w:val="000D2E92"/>
    <w:rsid w:val="000D4294"/>
    <w:rsid w:val="000D4F53"/>
    <w:rsid w:val="000D5481"/>
    <w:rsid w:val="000D6069"/>
    <w:rsid w:val="000D6B38"/>
    <w:rsid w:val="000E00A3"/>
    <w:rsid w:val="000E018E"/>
    <w:rsid w:val="000E1E63"/>
    <w:rsid w:val="000E3780"/>
    <w:rsid w:val="000E56CA"/>
    <w:rsid w:val="000E5A01"/>
    <w:rsid w:val="000E6698"/>
    <w:rsid w:val="000E7406"/>
    <w:rsid w:val="000E7BAF"/>
    <w:rsid w:val="000F0895"/>
    <w:rsid w:val="000F28DE"/>
    <w:rsid w:val="000F36FC"/>
    <w:rsid w:val="000F41EA"/>
    <w:rsid w:val="000F4993"/>
    <w:rsid w:val="000F55AF"/>
    <w:rsid w:val="0010050D"/>
    <w:rsid w:val="00101EFC"/>
    <w:rsid w:val="00102410"/>
    <w:rsid w:val="0010332F"/>
    <w:rsid w:val="00105395"/>
    <w:rsid w:val="00106986"/>
    <w:rsid w:val="00107684"/>
    <w:rsid w:val="001078E9"/>
    <w:rsid w:val="00110580"/>
    <w:rsid w:val="0011062F"/>
    <w:rsid w:val="00111C6E"/>
    <w:rsid w:val="001126E5"/>
    <w:rsid w:val="001133DC"/>
    <w:rsid w:val="00113AD0"/>
    <w:rsid w:val="001150FC"/>
    <w:rsid w:val="00116D54"/>
    <w:rsid w:val="00117FA3"/>
    <w:rsid w:val="00120681"/>
    <w:rsid w:val="001213CE"/>
    <w:rsid w:val="00121A98"/>
    <w:rsid w:val="00122C96"/>
    <w:rsid w:val="00123CA7"/>
    <w:rsid w:val="00124B70"/>
    <w:rsid w:val="00125A99"/>
    <w:rsid w:val="00125CD7"/>
    <w:rsid w:val="00126854"/>
    <w:rsid w:val="00127BA4"/>
    <w:rsid w:val="00131B3D"/>
    <w:rsid w:val="00132628"/>
    <w:rsid w:val="001330EE"/>
    <w:rsid w:val="00134CD4"/>
    <w:rsid w:val="00135668"/>
    <w:rsid w:val="00135B69"/>
    <w:rsid w:val="00135BAA"/>
    <w:rsid w:val="00135D7C"/>
    <w:rsid w:val="00137BCB"/>
    <w:rsid w:val="00142E7F"/>
    <w:rsid w:val="00143303"/>
    <w:rsid w:val="00144403"/>
    <w:rsid w:val="00145119"/>
    <w:rsid w:val="00145A00"/>
    <w:rsid w:val="00146332"/>
    <w:rsid w:val="001478A3"/>
    <w:rsid w:val="0015094D"/>
    <w:rsid w:val="00150B6C"/>
    <w:rsid w:val="0015241E"/>
    <w:rsid w:val="00152D0C"/>
    <w:rsid w:val="0015381C"/>
    <w:rsid w:val="00153C7F"/>
    <w:rsid w:val="001547E5"/>
    <w:rsid w:val="00156A9C"/>
    <w:rsid w:val="00157045"/>
    <w:rsid w:val="00157605"/>
    <w:rsid w:val="00157C5B"/>
    <w:rsid w:val="00160B73"/>
    <w:rsid w:val="001613C6"/>
    <w:rsid w:val="001641D0"/>
    <w:rsid w:val="00166227"/>
    <w:rsid w:val="001675F5"/>
    <w:rsid w:val="001679DC"/>
    <w:rsid w:val="001711C9"/>
    <w:rsid w:val="001713D4"/>
    <w:rsid w:val="00171726"/>
    <w:rsid w:val="00171E09"/>
    <w:rsid w:val="0017262A"/>
    <w:rsid w:val="001734B6"/>
    <w:rsid w:val="001756F7"/>
    <w:rsid w:val="001760FB"/>
    <w:rsid w:val="001767DF"/>
    <w:rsid w:val="0017743E"/>
    <w:rsid w:val="00177E4E"/>
    <w:rsid w:val="001825AA"/>
    <w:rsid w:val="00182D46"/>
    <w:rsid w:val="001839F2"/>
    <w:rsid w:val="001869BB"/>
    <w:rsid w:val="00186E60"/>
    <w:rsid w:val="00190F42"/>
    <w:rsid w:val="00191384"/>
    <w:rsid w:val="00191748"/>
    <w:rsid w:val="00191E40"/>
    <w:rsid w:val="00192EF0"/>
    <w:rsid w:val="0019451F"/>
    <w:rsid w:val="001945E1"/>
    <w:rsid w:val="00197886"/>
    <w:rsid w:val="00197E8B"/>
    <w:rsid w:val="001A1292"/>
    <w:rsid w:val="001A21E4"/>
    <w:rsid w:val="001A2F8B"/>
    <w:rsid w:val="001A3550"/>
    <w:rsid w:val="001A4498"/>
    <w:rsid w:val="001A5D9B"/>
    <w:rsid w:val="001A6FB0"/>
    <w:rsid w:val="001A72E7"/>
    <w:rsid w:val="001A7E65"/>
    <w:rsid w:val="001B15A9"/>
    <w:rsid w:val="001B6736"/>
    <w:rsid w:val="001B694B"/>
    <w:rsid w:val="001B6EA6"/>
    <w:rsid w:val="001B7479"/>
    <w:rsid w:val="001B77AC"/>
    <w:rsid w:val="001C1103"/>
    <w:rsid w:val="001C22FB"/>
    <w:rsid w:val="001C2315"/>
    <w:rsid w:val="001C235F"/>
    <w:rsid w:val="001C302F"/>
    <w:rsid w:val="001C32E0"/>
    <w:rsid w:val="001C3D0A"/>
    <w:rsid w:val="001C3E81"/>
    <w:rsid w:val="001C516C"/>
    <w:rsid w:val="001C5B99"/>
    <w:rsid w:val="001C6E43"/>
    <w:rsid w:val="001C7420"/>
    <w:rsid w:val="001D1913"/>
    <w:rsid w:val="001D1EF1"/>
    <w:rsid w:val="001D51F2"/>
    <w:rsid w:val="001D5782"/>
    <w:rsid w:val="001D5B02"/>
    <w:rsid w:val="001D6670"/>
    <w:rsid w:val="001D7CDF"/>
    <w:rsid w:val="001E0412"/>
    <w:rsid w:val="001E27F9"/>
    <w:rsid w:val="001E448C"/>
    <w:rsid w:val="001E5089"/>
    <w:rsid w:val="001E6402"/>
    <w:rsid w:val="001F080D"/>
    <w:rsid w:val="001F0F92"/>
    <w:rsid w:val="001F1DC1"/>
    <w:rsid w:val="001F2B19"/>
    <w:rsid w:val="001F2F16"/>
    <w:rsid w:val="001F350C"/>
    <w:rsid w:val="001F4639"/>
    <w:rsid w:val="001F5A78"/>
    <w:rsid w:val="001F6CB0"/>
    <w:rsid w:val="00200971"/>
    <w:rsid w:val="00200A2C"/>
    <w:rsid w:val="00200C03"/>
    <w:rsid w:val="00201A1B"/>
    <w:rsid w:val="00201B49"/>
    <w:rsid w:val="00201E65"/>
    <w:rsid w:val="00202175"/>
    <w:rsid w:val="002030B8"/>
    <w:rsid w:val="0020677C"/>
    <w:rsid w:val="00206CD8"/>
    <w:rsid w:val="002071BF"/>
    <w:rsid w:val="0021188A"/>
    <w:rsid w:val="00212707"/>
    <w:rsid w:val="002127DC"/>
    <w:rsid w:val="002137D2"/>
    <w:rsid w:val="0021400C"/>
    <w:rsid w:val="00214521"/>
    <w:rsid w:val="00214614"/>
    <w:rsid w:val="00214674"/>
    <w:rsid w:val="002172A5"/>
    <w:rsid w:val="0021784A"/>
    <w:rsid w:val="00223819"/>
    <w:rsid w:val="00223B17"/>
    <w:rsid w:val="00223D10"/>
    <w:rsid w:val="002247BF"/>
    <w:rsid w:val="0022492E"/>
    <w:rsid w:val="002272D0"/>
    <w:rsid w:val="00227766"/>
    <w:rsid w:val="00230FC4"/>
    <w:rsid w:val="00232B60"/>
    <w:rsid w:val="00232DFA"/>
    <w:rsid w:val="0023344B"/>
    <w:rsid w:val="00233E81"/>
    <w:rsid w:val="00234A3F"/>
    <w:rsid w:val="00237AA4"/>
    <w:rsid w:val="0024037D"/>
    <w:rsid w:val="002420AB"/>
    <w:rsid w:val="002428D4"/>
    <w:rsid w:val="00243F1B"/>
    <w:rsid w:val="002443F7"/>
    <w:rsid w:val="00244747"/>
    <w:rsid w:val="002454A8"/>
    <w:rsid w:val="00246A6B"/>
    <w:rsid w:val="00247336"/>
    <w:rsid w:val="00250328"/>
    <w:rsid w:val="002507DB"/>
    <w:rsid w:val="00250E94"/>
    <w:rsid w:val="002518DE"/>
    <w:rsid w:val="00251D8D"/>
    <w:rsid w:val="00252009"/>
    <w:rsid w:val="00254B3A"/>
    <w:rsid w:val="00255B1B"/>
    <w:rsid w:val="0025714A"/>
    <w:rsid w:val="002607A2"/>
    <w:rsid w:val="0026128C"/>
    <w:rsid w:val="00261F4C"/>
    <w:rsid w:val="00262A5B"/>
    <w:rsid w:val="00264B05"/>
    <w:rsid w:val="002666A3"/>
    <w:rsid w:val="0026704A"/>
    <w:rsid w:val="00267ABE"/>
    <w:rsid w:val="0027120E"/>
    <w:rsid w:val="002712B2"/>
    <w:rsid w:val="002727E9"/>
    <w:rsid w:val="00272D67"/>
    <w:rsid w:val="002741C8"/>
    <w:rsid w:val="002743FA"/>
    <w:rsid w:val="00274926"/>
    <w:rsid w:val="002764EC"/>
    <w:rsid w:val="0027740E"/>
    <w:rsid w:val="00277F9E"/>
    <w:rsid w:val="002813E6"/>
    <w:rsid w:val="00282D29"/>
    <w:rsid w:val="0028308F"/>
    <w:rsid w:val="002836E2"/>
    <w:rsid w:val="00285086"/>
    <w:rsid w:val="00285A7C"/>
    <w:rsid w:val="00287633"/>
    <w:rsid w:val="00287905"/>
    <w:rsid w:val="00287C0A"/>
    <w:rsid w:val="00287D39"/>
    <w:rsid w:val="00290BFA"/>
    <w:rsid w:val="00292EFC"/>
    <w:rsid w:val="00294655"/>
    <w:rsid w:val="0029621A"/>
    <w:rsid w:val="00297D11"/>
    <w:rsid w:val="002A01FD"/>
    <w:rsid w:val="002A36D8"/>
    <w:rsid w:val="002A4656"/>
    <w:rsid w:val="002A5832"/>
    <w:rsid w:val="002A5E54"/>
    <w:rsid w:val="002A602A"/>
    <w:rsid w:val="002A6459"/>
    <w:rsid w:val="002B01FF"/>
    <w:rsid w:val="002B250D"/>
    <w:rsid w:val="002B28FE"/>
    <w:rsid w:val="002B3289"/>
    <w:rsid w:val="002B49B2"/>
    <w:rsid w:val="002B7443"/>
    <w:rsid w:val="002B758C"/>
    <w:rsid w:val="002B7CA5"/>
    <w:rsid w:val="002C05F4"/>
    <w:rsid w:val="002C0B62"/>
    <w:rsid w:val="002C18D5"/>
    <w:rsid w:val="002C21F7"/>
    <w:rsid w:val="002C29D3"/>
    <w:rsid w:val="002C2DA4"/>
    <w:rsid w:val="002C3F1D"/>
    <w:rsid w:val="002C414B"/>
    <w:rsid w:val="002C4592"/>
    <w:rsid w:val="002C5176"/>
    <w:rsid w:val="002C61A8"/>
    <w:rsid w:val="002C6C9E"/>
    <w:rsid w:val="002C6E64"/>
    <w:rsid w:val="002D017E"/>
    <w:rsid w:val="002D381B"/>
    <w:rsid w:val="002D42B8"/>
    <w:rsid w:val="002D46FD"/>
    <w:rsid w:val="002D5461"/>
    <w:rsid w:val="002D63C7"/>
    <w:rsid w:val="002D7DAF"/>
    <w:rsid w:val="002D7EFD"/>
    <w:rsid w:val="002E355C"/>
    <w:rsid w:val="002E54CC"/>
    <w:rsid w:val="002E6E6C"/>
    <w:rsid w:val="002E7D77"/>
    <w:rsid w:val="002F141B"/>
    <w:rsid w:val="002F1B96"/>
    <w:rsid w:val="002F1C3E"/>
    <w:rsid w:val="002F35FA"/>
    <w:rsid w:val="002F3DBA"/>
    <w:rsid w:val="002F3F82"/>
    <w:rsid w:val="002F482B"/>
    <w:rsid w:val="002F646F"/>
    <w:rsid w:val="002F72F9"/>
    <w:rsid w:val="002F7373"/>
    <w:rsid w:val="00302D7F"/>
    <w:rsid w:val="00303014"/>
    <w:rsid w:val="0030309E"/>
    <w:rsid w:val="003036E3"/>
    <w:rsid w:val="00305A19"/>
    <w:rsid w:val="00307420"/>
    <w:rsid w:val="00310A2C"/>
    <w:rsid w:val="003117B8"/>
    <w:rsid w:val="00311BE2"/>
    <w:rsid w:val="00313F4A"/>
    <w:rsid w:val="00322489"/>
    <w:rsid w:val="003226C8"/>
    <w:rsid w:val="00322817"/>
    <w:rsid w:val="003234CD"/>
    <w:rsid w:val="00323EA3"/>
    <w:rsid w:val="003274A8"/>
    <w:rsid w:val="003305FF"/>
    <w:rsid w:val="00330948"/>
    <w:rsid w:val="00330CF2"/>
    <w:rsid w:val="00332272"/>
    <w:rsid w:val="00333BA1"/>
    <w:rsid w:val="00333BE3"/>
    <w:rsid w:val="00335871"/>
    <w:rsid w:val="00335C77"/>
    <w:rsid w:val="00336097"/>
    <w:rsid w:val="00336A0E"/>
    <w:rsid w:val="00336DF7"/>
    <w:rsid w:val="00336F0D"/>
    <w:rsid w:val="003372A9"/>
    <w:rsid w:val="003374E5"/>
    <w:rsid w:val="00337636"/>
    <w:rsid w:val="003401D4"/>
    <w:rsid w:val="00342834"/>
    <w:rsid w:val="003428C3"/>
    <w:rsid w:val="003430DB"/>
    <w:rsid w:val="003434EA"/>
    <w:rsid w:val="003446FB"/>
    <w:rsid w:val="0034483F"/>
    <w:rsid w:val="00344AFD"/>
    <w:rsid w:val="00345B7F"/>
    <w:rsid w:val="00345EBA"/>
    <w:rsid w:val="00347319"/>
    <w:rsid w:val="00350A56"/>
    <w:rsid w:val="00350CCF"/>
    <w:rsid w:val="00351573"/>
    <w:rsid w:val="00351C62"/>
    <w:rsid w:val="00352888"/>
    <w:rsid w:val="00352A7F"/>
    <w:rsid w:val="00356198"/>
    <w:rsid w:val="003572D2"/>
    <w:rsid w:val="003602ED"/>
    <w:rsid w:val="003627FD"/>
    <w:rsid w:val="00362C97"/>
    <w:rsid w:val="003637EC"/>
    <w:rsid w:val="003638DA"/>
    <w:rsid w:val="00364E23"/>
    <w:rsid w:val="00364E3B"/>
    <w:rsid w:val="00365585"/>
    <w:rsid w:val="003655D5"/>
    <w:rsid w:val="003664BA"/>
    <w:rsid w:val="003700F2"/>
    <w:rsid w:val="00370F49"/>
    <w:rsid w:val="00371197"/>
    <w:rsid w:val="003724BC"/>
    <w:rsid w:val="0037372C"/>
    <w:rsid w:val="003745FF"/>
    <w:rsid w:val="0037596D"/>
    <w:rsid w:val="0037667E"/>
    <w:rsid w:val="00377D6E"/>
    <w:rsid w:val="003803E9"/>
    <w:rsid w:val="00380705"/>
    <w:rsid w:val="00381B22"/>
    <w:rsid w:val="00381C98"/>
    <w:rsid w:val="00381EE4"/>
    <w:rsid w:val="00382A9D"/>
    <w:rsid w:val="00383471"/>
    <w:rsid w:val="00384E5A"/>
    <w:rsid w:val="003851B1"/>
    <w:rsid w:val="00390E7C"/>
    <w:rsid w:val="003913DB"/>
    <w:rsid w:val="003916ED"/>
    <w:rsid w:val="00391C21"/>
    <w:rsid w:val="0039233C"/>
    <w:rsid w:val="00393C42"/>
    <w:rsid w:val="0039407A"/>
    <w:rsid w:val="00394098"/>
    <w:rsid w:val="00394695"/>
    <w:rsid w:val="003953ED"/>
    <w:rsid w:val="00395E70"/>
    <w:rsid w:val="00396554"/>
    <w:rsid w:val="003965C9"/>
    <w:rsid w:val="00396721"/>
    <w:rsid w:val="003A0B10"/>
    <w:rsid w:val="003A1562"/>
    <w:rsid w:val="003A4168"/>
    <w:rsid w:val="003A4C62"/>
    <w:rsid w:val="003A5320"/>
    <w:rsid w:val="003A5E5B"/>
    <w:rsid w:val="003A60BB"/>
    <w:rsid w:val="003A6E64"/>
    <w:rsid w:val="003B089B"/>
    <w:rsid w:val="003B0E82"/>
    <w:rsid w:val="003B130A"/>
    <w:rsid w:val="003B1A6F"/>
    <w:rsid w:val="003B2071"/>
    <w:rsid w:val="003B24E7"/>
    <w:rsid w:val="003B292C"/>
    <w:rsid w:val="003B3C71"/>
    <w:rsid w:val="003B520A"/>
    <w:rsid w:val="003B54B4"/>
    <w:rsid w:val="003B5EEA"/>
    <w:rsid w:val="003B60AA"/>
    <w:rsid w:val="003B7A9C"/>
    <w:rsid w:val="003C4DC7"/>
    <w:rsid w:val="003C5EA0"/>
    <w:rsid w:val="003C713A"/>
    <w:rsid w:val="003C7938"/>
    <w:rsid w:val="003D10CF"/>
    <w:rsid w:val="003D189E"/>
    <w:rsid w:val="003D3406"/>
    <w:rsid w:val="003D4565"/>
    <w:rsid w:val="003D57C3"/>
    <w:rsid w:val="003D759D"/>
    <w:rsid w:val="003E092B"/>
    <w:rsid w:val="003E0AE3"/>
    <w:rsid w:val="003E3819"/>
    <w:rsid w:val="003E39DE"/>
    <w:rsid w:val="003E713A"/>
    <w:rsid w:val="003F0C2A"/>
    <w:rsid w:val="003F18E8"/>
    <w:rsid w:val="003F21AB"/>
    <w:rsid w:val="003F2D80"/>
    <w:rsid w:val="003F4405"/>
    <w:rsid w:val="003F5466"/>
    <w:rsid w:val="003F6986"/>
    <w:rsid w:val="0040049E"/>
    <w:rsid w:val="0040110F"/>
    <w:rsid w:val="0040116E"/>
    <w:rsid w:val="004029AE"/>
    <w:rsid w:val="00404644"/>
    <w:rsid w:val="00404AF2"/>
    <w:rsid w:val="0040676C"/>
    <w:rsid w:val="004077D2"/>
    <w:rsid w:val="0041077E"/>
    <w:rsid w:val="00411932"/>
    <w:rsid w:val="0041251B"/>
    <w:rsid w:val="0041290B"/>
    <w:rsid w:val="00412EAF"/>
    <w:rsid w:val="004141DD"/>
    <w:rsid w:val="0041671E"/>
    <w:rsid w:val="00417BC1"/>
    <w:rsid w:val="00417DC3"/>
    <w:rsid w:val="00420B70"/>
    <w:rsid w:val="00421DA9"/>
    <w:rsid w:val="00422EA9"/>
    <w:rsid w:val="004234B3"/>
    <w:rsid w:val="004243F1"/>
    <w:rsid w:val="00427276"/>
    <w:rsid w:val="00431CA4"/>
    <w:rsid w:val="00431EF8"/>
    <w:rsid w:val="004321CE"/>
    <w:rsid w:val="0043262C"/>
    <w:rsid w:val="004329B0"/>
    <w:rsid w:val="00432AD8"/>
    <w:rsid w:val="00432D2F"/>
    <w:rsid w:val="00432D42"/>
    <w:rsid w:val="004338F7"/>
    <w:rsid w:val="00433F09"/>
    <w:rsid w:val="00434253"/>
    <w:rsid w:val="004349B8"/>
    <w:rsid w:val="00435B38"/>
    <w:rsid w:val="0043639F"/>
    <w:rsid w:val="0043662C"/>
    <w:rsid w:val="00442E7F"/>
    <w:rsid w:val="0044322F"/>
    <w:rsid w:val="00445857"/>
    <w:rsid w:val="00446BF4"/>
    <w:rsid w:val="00446C25"/>
    <w:rsid w:val="004471E1"/>
    <w:rsid w:val="0044771C"/>
    <w:rsid w:val="00447987"/>
    <w:rsid w:val="004501B5"/>
    <w:rsid w:val="004501D4"/>
    <w:rsid w:val="004505C0"/>
    <w:rsid w:val="00451091"/>
    <w:rsid w:val="004530A5"/>
    <w:rsid w:val="004539C0"/>
    <w:rsid w:val="00454CCB"/>
    <w:rsid w:val="004554B8"/>
    <w:rsid w:val="0045621D"/>
    <w:rsid w:val="00457771"/>
    <w:rsid w:val="00457C50"/>
    <w:rsid w:val="00461133"/>
    <w:rsid w:val="00461CE1"/>
    <w:rsid w:val="004639A3"/>
    <w:rsid w:val="00464049"/>
    <w:rsid w:val="00465137"/>
    <w:rsid w:val="00465241"/>
    <w:rsid w:val="00465A5D"/>
    <w:rsid w:val="00465D87"/>
    <w:rsid w:val="0046619A"/>
    <w:rsid w:val="00467003"/>
    <w:rsid w:val="00467869"/>
    <w:rsid w:val="00471298"/>
    <w:rsid w:val="004718E7"/>
    <w:rsid w:val="004719E6"/>
    <w:rsid w:val="00471F00"/>
    <w:rsid w:val="004723E9"/>
    <w:rsid w:val="00472DDD"/>
    <w:rsid w:val="00474380"/>
    <w:rsid w:val="0047623D"/>
    <w:rsid w:val="00480E1D"/>
    <w:rsid w:val="004811DB"/>
    <w:rsid w:val="00482434"/>
    <w:rsid w:val="004834B6"/>
    <w:rsid w:val="00483850"/>
    <w:rsid w:val="00485360"/>
    <w:rsid w:val="00490843"/>
    <w:rsid w:val="00494965"/>
    <w:rsid w:val="00494FDB"/>
    <w:rsid w:val="00496A68"/>
    <w:rsid w:val="004970A9"/>
    <w:rsid w:val="0049725A"/>
    <w:rsid w:val="004A0150"/>
    <w:rsid w:val="004A0629"/>
    <w:rsid w:val="004A19CE"/>
    <w:rsid w:val="004A1E40"/>
    <w:rsid w:val="004A2192"/>
    <w:rsid w:val="004A37B8"/>
    <w:rsid w:val="004A53C5"/>
    <w:rsid w:val="004A6701"/>
    <w:rsid w:val="004A715A"/>
    <w:rsid w:val="004B0ACE"/>
    <w:rsid w:val="004B0B78"/>
    <w:rsid w:val="004B107F"/>
    <w:rsid w:val="004B1539"/>
    <w:rsid w:val="004B2696"/>
    <w:rsid w:val="004B3091"/>
    <w:rsid w:val="004B4A55"/>
    <w:rsid w:val="004C1082"/>
    <w:rsid w:val="004C363C"/>
    <w:rsid w:val="004C4756"/>
    <w:rsid w:val="004C5F27"/>
    <w:rsid w:val="004C6993"/>
    <w:rsid w:val="004C7895"/>
    <w:rsid w:val="004C7CCC"/>
    <w:rsid w:val="004D0140"/>
    <w:rsid w:val="004D04BF"/>
    <w:rsid w:val="004D2A54"/>
    <w:rsid w:val="004D32E5"/>
    <w:rsid w:val="004D3886"/>
    <w:rsid w:val="004D38CF"/>
    <w:rsid w:val="004D42DF"/>
    <w:rsid w:val="004D50D8"/>
    <w:rsid w:val="004D5CE5"/>
    <w:rsid w:val="004D7B30"/>
    <w:rsid w:val="004E0DE9"/>
    <w:rsid w:val="004E0F71"/>
    <w:rsid w:val="004E17FE"/>
    <w:rsid w:val="004E1B1D"/>
    <w:rsid w:val="004E2580"/>
    <w:rsid w:val="004E288A"/>
    <w:rsid w:val="004E2CFE"/>
    <w:rsid w:val="004E2EA4"/>
    <w:rsid w:val="004E5173"/>
    <w:rsid w:val="004E633D"/>
    <w:rsid w:val="004E701B"/>
    <w:rsid w:val="004E71D9"/>
    <w:rsid w:val="004E7C7D"/>
    <w:rsid w:val="004E7C8D"/>
    <w:rsid w:val="004F1045"/>
    <w:rsid w:val="004F3E01"/>
    <w:rsid w:val="004F5820"/>
    <w:rsid w:val="004F583D"/>
    <w:rsid w:val="004F5D1C"/>
    <w:rsid w:val="004F6C4A"/>
    <w:rsid w:val="004F6CB7"/>
    <w:rsid w:val="004F6DE8"/>
    <w:rsid w:val="005006C3"/>
    <w:rsid w:val="00500A6A"/>
    <w:rsid w:val="00501572"/>
    <w:rsid w:val="00501850"/>
    <w:rsid w:val="005039E6"/>
    <w:rsid w:val="00503A79"/>
    <w:rsid w:val="005044F9"/>
    <w:rsid w:val="00505AB4"/>
    <w:rsid w:val="00507F3E"/>
    <w:rsid w:val="005101F7"/>
    <w:rsid w:val="00510547"/>
    <w:rsid w:val="00512E26"/>
    <w:rsid w:val="005137E5"/>
    <w:rsid w:val="00515E54"/>
    <w:rsid w:val="005173A6"/>
    <w:rsid w:val="00520615"/>
    <w:rsid w:val="00521D72"/>
    <w:rsid w:val="0052508B"/>
    <w:rsid w:val="00525C3D"/>
    <w:rsid w:val="00526599"/>
    <w:rsid w:val="00526B72"/>
    <w:rsid w:val="005270D1"/>
    <w:rsid w:val="00531214"/>
    <w:rsid w:val="005319DC"/>
    <w:rsid w:val="00531CB5"/>
    <w:rsid w:val="005331A5"/>
    <w:rsid w:val="005343B2"/>
    <w:rsid w:val="005359EC"/>
    <w:rsid w:val="0053664C"/>
    <w:rsid w:val="00536E9F"/>
    <w:rsid w:val="005372B0"/>
    <w:rsid w:val="00537528"/>
    <w:rsid w:val="00537C3C"/>
    <w:rsid w:val="00540828"/>
    <w:rsid w:val="0054219B"/>
    <w:rsid w:val="00544112"/>
    <w:rsid w:val="005457EF"/>
    <w:rsid w:val="00545EB9"/>
    <w:rsid w:val="00551741"/>
    <w:rsid w:val="0055190F"/>
    <w:rsid w:val="00551FA3"/>
    <w:rsid w:val="00553276"/>
    <w:rsid w:val="00553530"/>
    <w:rsid w:val="005559F6"/>
    <w:rsid w:val="00560F87"/>
    <w:rsid w:val="00563B8A"/>
    <w:rsid w:val="005643FB"/>
    <w:rsid w:val="0056447C"/>
    <w:rsid w:val="0056599B"/>
    <w:rsid w:val="00567552"/>
    <w:rsid w:val="0057002C"/>
    <w:rsid w:val="00572A05"/>
    <w:rsid w:val="00572C0E"/>
    <w:rsid w:val="005730E1"/>
    <w:rsid w:val="005738DF"/>
    <w:rsid w:val="00575854"/>
    <w:rsid w:val="00575D5E"/>
    <w:rsid w:val="005802DE"/>
    <w:rsid w:val="00581B6F"/>
    <w:rsid w:val="00582C11"/>
    <w:rsid w:val="005830EF"/>
    <w:rsid w:val="00583E1A"/>
    <w:rsid w:val="00584025"/>
    <w:rsid w:val="005861EE"/>
    <w:rsid w:val="005869CE"/>
    <w:rsid w:val="00587CD5"/>
    <w:rsid w:val="00587E0E"/>
    <w:rsid w:val="00590B7F"/>
    <w:rsid w:val="00590BA1"/>
    <w:rsid w:val="00591A09"/>
    <w:rsid w:val="00592399"/>
    <w:rsid w:val="005923A5"/>
    <w:rsid w:val="0059451A"/>
    <w:rsid w:val="00594B23"/>
    <w:rsid w:val="005972E5"/>
    <w:rsid w:val="00597AE7"/>
    <w:rsid w:val="005A04AA"/>
    <w:rsid w:val="005A0D6A"/>
    <w:rsid w:val="005A1FB1"/>
    <w:rsid w:val="005A2B1D"/>
    <w:rsid w:val="005A2C87"/>
    <w:rsid w:val="005A2F00"/>
    <w:rsid w:val="005A2F1F"/>
    <w:rsid w:val="005A418C"/>
    <w:rsid w:val="005A54B3"/>
    <w:rsid w:val="005A5B24"/>
    <w:rsid w:val="005A65B0"/>
    <w:rsid w:val="005A71CD"/>
    <w:rsid w:val="005A77D6"/>
    <w:rsid w:val="005A7F94"/>
    <w:rsid w:val="005B0343"/>
    <w:rsid w:val="005B04CA"/>
    <w:rsid w:val="005B08FF"/>
    <w:rsid w:val="005B0E85"/>
    <w:rsid w:val="005B0FCB"/>
    <w:rsid w:val="005B16CF"/>
    <w:rsid w:val="005B175C"/>
    <w:rsid w:val="005B1D5F"/>
    <w:rsid w:val="005B2CD9"/>
    <w:rsid w:val="005B4175"/>
    <w:rsid w:val="005C3593"/>
    <w:rsid w:val="005C4BAF"/>
    <w:rsid w:val="005C5A33"/>
    <w:rsid w:val="005C6EDF"/>
    <w:rsid w:val="005C783A"/>
    <w:rsid w:val="005D0DBD"/>
    <w:rsid w:val="005D1B09"/>
    <w:rsid w:val="005D2193"/>
    <w:rsid w:val="005D2A1E"/>
    <w:rsid w:val="005D54CD"/>
    <w:rsid w:val="005D5763"/>
    <w:rsid w:val="005D580A"/>
    <w:rsid w:val="005D5C59"/>
    <w:rsid w:val="005D5F05"/>
    <w:rsid w:val="005D6535"/>
    <w:rsid w:val="005D7530"/>
    <w:rsid w:val="005E13E7"/>
    <w:rsid w:val="005E211B"/>
    <w:rsid w:val="005E29D5"/>
    <w:rsid w:val="005E3E33"/>
    <w:rsid w:val="005E487E"/>
    <w:rsid w:val="005E616E"/>
    <w:rsid w:val="005F1928"/>
    <w:rsid w:val="005F4AC9"/>
    <w:rsid w:val="005F606D"/>
    <w:rsid w:val="005F7291"/>
    <w:rsid w:val="005F7CDD"/>
    <w:rsid w:val="0060046C"/>
    <w:rsid w:val="00602CBF"/>
    <w:rsid w:val="00602FF7"/>
    <w:rsid w:val="00604252"/>
    <w:rsid w:val="006054FC"/>
    <w:rsid w:val="00605F41"/>
    <w:rsid w:val="006061D9"/>
    <w:rsid w:val="00607862"/>
    <w:rsid w:val="00607FB4"/>
    <w:rsid w:val="006113D5"/>
    <w:rsid w:val="006116A0"/>
    <w:rsid w:val="00613221"/>
    <w:rsid w:val="00613C9B"/>
    <w:rsid w:val="006160F4"/>
    <w:rsid w:val="00616BAE"/>
    <w:rsid w:val="0062215A"/>
    <w:rsid w:val="006234AC"/>
    <w:rsid w:val="006236AE"/>
    <w:rsid w:val="006236C1"/>
    <w:rsid w:val="00624E05"/>
    <w:rsid w:val="0062526F"/>
    <w:rsid w:val="00625E07"/>
    <w:rsid w:val="00626AD2"/>
    <w:rsid w:val="00626FFF"/>
    <w:rsid w:val="00627229"/>
    <w:rsid w:val="00627DC4"/>
    <w:rsid w:val="00632AD6"/>
    <w:rsid w:val="00632CB5"/>
    <w:rsid w:val="0063698B"/>
    <w:rsid w:val="00637252"/>
    <w:rsid w:val="006375C5"/>
    <w:rsid w:val="006377FE"/>
    <w:rsid w:val="00637CAD"/>
    <w:rsid w:val="00637EFB"/>
    <w:rsid w:val="0064028E"/>
    <w:rsid w:val="006408A7"/>
    <w:rsid w:val="00640A8D"/>
    <w:rsid w:val="006417E1"/>
    <w:rsid w:val="00641953"/>
    <w:rsid w:val="00641A62"/>
    <w:rsid w:val="00642040"/>
    <w:rsid w:val="00642722"/>
    <w:rsid w:val="0064368A"/>
    <w:rsid w:val="006438C4"/>
    <w:rsid w:val="0064397F"/>
    <w:rsid w:val="00644A0A"/>
    <w:rsid w:val="00644A9B"/>
    <w:rsid w:val="006455FE"/>
    <w:rsid w:val="00645C36"/>
    <w:rsid w:val="00645F7C"/>
    <w:rsid w:val="00646AFC"/>
    <w:rsid w:val="00646B22"/>
    <w:rsid w:val="006506AF"/>
    <w:rsid w:val="0065127E"/>
    <w:rsid w:val="00651B07"/>
    <w:rsid w:val="0065308E"/>
    <w:rsid w:val="0065447F"/>
    <w:rsid w:val="00655108"/>
    <w:rsid w:val="006556FA"/>
    <w:rsid w:val="0065613F"/>
    <w:rsid w:val="00656BE5"/>
    <w:rsid w:val="00656E83"/>
    <w:rsid w:val="0065710B"/>
    <w:rsid w:val="006601FA"/>
    <w:rsid w:val="00660B89"/>
    <w:rsid w:val="00660D8B"/>
    <w:rsid w:val="00660DF6"/>
    <w:rsid w:val="0066214F"/>
    <w:rsid w:val="006625A7"/>
    <w:rsid w:val="00662AE3"/>
    <w:rsid w:val="006632AA"/>
    <w:rsid w:val="00665D26"/>
    <w:rsid w:val="006669E2"/>
    <w:rsid w:val="00666C98"/>
    <w:rsid w:val="00666D14"/>
    <w:rsid w:val="00667900"/>
    <w:rsid w:val="00667920"/>
    <w:rsid w:val="00671AB5"/>
    <w:rsid w:val="00674045"/>
    <w:rsid w:val="006749B6"/>
    <w:rsid w:val="006750B7"/>
    <w:rsid w:val="00676B3B"/>
    <w:rsid w:val="00680065"/>
    <w:rsid w:val="00681487"/>
    <w:rsid w:val="006817B8"/>
    <w:rsid w:val="00681EA5"/>
    <w:rsid w:val="00682F8B"/>
    <w:rsid w:val="00683407"/>
    <w:rsid w:val="00684A47"/>
    <w:rsid w:val="006858B8"/>
    <w:rsid w:val="00686116"/>
    <w:rsid w:val="006861DF"/>
    <w:rsid w:val="0068728C"/>
    <w:rsid w:val="00694986"/>
    <w:rsid w:val="00696555"/>
    <w:rsid w:val="0069665B"/>
    <w:rsid w:val="00697701"/>
    <w:rsid w:val="006A0A20"/>
    <w:rsid w:val="006A0FA8"/>
    <w:rsid w:val="006A125A"/>
    <w:rsid w:val="006A19BE"/>
    <w:rsid w:val="006A1CD5"/>
    <w:rsid w:val="006A1EED"/>
    <w:rsid w:val="006A23DD"/>
    <w:rsid w:val="006A286A"/>
    <w:rsid w:val="006A3EE4"/>
    <w:rsid w:val="006A40A0"/>
    <w:rsid w:val="006A46BC"/>
    <w:rsid w:val="006A63A8"/>
    <w:rsid w:val="006A7101"/>
    <w:rsid w:val="006A75AC"/>
    <w:rsid w:val="006B4702"/>
    <w:rsid w:val="006B49E1"/>
    <w:rsid w:val="006B50CB"/>
    <w:rsid w:val="006B537E"/>
    <w:rsid w:val="006B67B0"/>
    <w:rsid w:val="006B73CB"/>
    <w:rsid w:val="006B7999"/>
    <w:rsid w:val="006C00BE"/>
    <w:rsid w:val="006C0755"/>
    <w:rsid w:val="006C0B3C"/>
    <w:rsid w:val="006C0EB4"/>
    <w:rsid w:val="006C1162"/>
    <w:rsid w:val="006C1A52"/>
    <w:rsid w:val="006C2ABE"/>
    <w:rsid w:val="006C4038"/>
    <w:rsid w:val="006C431C"/>
    <w:rsid w:val="006C452F"/>
    <w:rsid w:val="006C560E"/>
    <w:rsid w:val="006D0042"/>
    <w:rsid w:val="006D1420"/>
    <w:rsid w:val="006D19D7"/>
    <w:rsid w:val="006D3374"/>
    <w:rsid w:val="006D38D1"/>
    <w:rsid w:val="006D43B2"/>
    <w:rsid w:val="006D479F"/>
    <w:rsid w:val="006D569E"/>
    <w:rsid w:val="006D64D5"/>
    <w:rsid w:val="006D7188"/>
    <w:rsid w:val="006E06C2"/>
    <w:rsid w:val="006E0B46"/>
    <w:rsid w:val="006E1701"/>
    <w:rsid w:val="006E1FB9"/>
    <w:rsid w:val="006E3098"/>
    <w:rsid w:val="006E3E54"/>
    <w:rsid w:val="006E44D4"/>
    <w:rsid w:val="006E499B"/>
    <w:rsid w:val="006E52B5"/>
    <w:rsid w:val="006E56CD"/>
    <w:rsid w:val="006E58D4"/>
    <w:rsid w:val="006E633E"/>
    <w:rsid w:val="006F14D6"/>
    <w:rsid w:val="006F2B33"/>
    <w:rsid w:val="006F2CD8"/>
    <w:rsid w:val="006F3C1C"/>
    <w:rsid w:val="006F6B82"/>
    <w:rsid w:val="006F7452"/>
    <w:rsid w:val="006F7E42"/>
    <w:rsid w:val="0070008C"/>
    <w:rsid w:val="00700232"/>
    <w:rsid w:val="0070134E"/>
    <w:rsid w:val="007030E3"/>
    <w:rsid w:val="00703D4C"/>
    <w:rsid w:val="00707387"/>
    <w:rsid w:val="00707785"/>
    <w:rsid w:val="00710313"/>
    <w:rsid w:val="00710DED"/>
    <w:rsid w:val="0071203C"/>
    <w:rsid w:val="00712383"/>
    <w:rsid w:val="00713736"/>
    <w:rsid w:val="00714C62"/>
    <w:rsid w:val="00716915"/>
    <w:rsid w:val="00716E94"/>
    <w:rsid w:val="0071722C"/>
    <w:rsid w:val="00721A70"/>
    <w:rsid w:val="00722A9D"/>
    <w:rsid w:val="00723688"/>
    <w:rsid w:val="00725967"/>
    <w:rsid w:val="00725AFB"/>
    <w:rsid w:val="0072655A"/>
    <w:rsid w:val="007279E6"/>
    <w:rsid w:val="00727B54"/>
    <w:rsid w:val="00731A82"/>
    <w:rsid w:val="00731BC8"/>
    <w:rsid w:val="00732AA3"/>
    <w:rsid w:val="00733A09"/>
    <w:rsid w:val="007341A2"/>
    <w:rsid w:val="00735FD3"/>
    <w:rsid w:val="007365C2"/>
    <w:rsid w:val="00737003"/>
    <w:rsid w:val="007375F8"/>
    <w:rsid w:val="00740DF7"/>
    <w:rsid w:val="00741AE8"/>
    <w:rsid w:val="0074427B"/>
    <w:rsid w:val="00745D19"/>
    <w:rsid w:val="00746288"/>
    <w:rsid w:val="007463A7"/>
    <w:rsid w:val="00746467"/>
    <w:rsid w:val="007468E9"/>
    <w:rsid w:val="007514C1"/>
    <w:rsid w:val="00753505"/>
    <w:rsid w:val="007542B2"/>
    <w:rsid w:val="00755B45"/>
    <w:rsid w:val="0075619F"/>
    <w:rsid w:val="00756429"/>
    <w:rsid w:val="0075712A"/>
    <w:rsid w:val="0075718F"/>
    <w:rsid w:val="00760788"/>
    <w:rsid w:val="00762A45"/>
    <w:rsid w:val="00762D00"/>
    <w:rsid w:val="00763B14"/>
    <w:rsid w:val="00764727"/>
    <w:rsid w:val="0076478B"/>
    <w:rsid w:val="0076480D"/>
    <w:rsid w:val="007661CC"/>
    <w:rsid w:val="00772B2C"/>
    <w:rsid w:val="0077301A"/>
    <w:rsid w:val="00773B85"/>
    <w:rsid w:val="00774D93"/>
    <w:rsid w:val="0077623A"/>
    <w:rsid w:val="00776929"/>
    <w:rsid w:val="00776B40"/>
    <w:rsid w:val="00777552"/>
    <w:rsid w:val="0078281D"/>
    <w:rsid w:val="00783347"/>
    <w:rsid w:val="007871B6"/>
    <w:rsid w:val="00787542"/>
    <w:rsid w:val="00790D93"/>
    <w:rsid w:val="00791017"/>
    <w:rsid w:val="00791F02"/>
    <w:rsid w:val="00794701"/>
    <w:rsid w:val="0079644F"/>
    <w:rsid w:val="00796E3E"/>
    <w:rsid w:val="00796ECA"/>
    <w:rsid w:val="00797FE4"/>
    <w:rsid w:val="007A0DF7"/>
    <w:rsid w:val="007A13FF"/>
    <w:rsid w:val="007A2CF2"/>
    <w:rsid w:val="007A357B"/>
    <w:rsid w:val="007B2674"/>
    <w:rsid w:val="007B2768"/>
    <w:rsid w:val="007B32D0"/>
    <w:rsid w:val="007B434A"/>
    <w:rsid w:val="007B4D8A"/>
    <w:rsid w:val="007B6DAA"/>
    <w:rsid w:val="007B78BF"/>
    <w:rsid w:val="007B7952"/>
    <w:rsid w:val="007B7B15"/>
    <w:rsid w:val="007C3E54"/>
    <w:rsid w:val="007C42C1"/>
    <w:rsid w:val="007C51BC"/>
    <w:rsid w:val="007C5E6D"/>
    <w:rsid w:val="007C614A"/>
    <w:rsid w:val="007C6B55"/>
    <w:rsid w:val="007C7F75"/>
    <w:rsid w:val="007D0265"/>
    <w:rsid w:val="007D0C78"/>
    <w:rsid w:val="007D2B18"/>
    <w:rsid w:val="007D2BA7"/>
    <w:rsid w:val="007D2ED2"/>
    <w:rsid w:val="007D4638"/>
    <w:rsid w:val="007D50AD"/>
    <w:rsid w:val="007D51CE"/>
    <w:rsid w:val="007E0401"/>
    <w:rsid w:val="007E0E90"/>
    <w:rsid w:val="007E33F5"/>
    <w:rsid w:val="007E36F8"/>
    <w:rsid w:val="007E3981"/>
    <w:rsid w:val="007E39B1"/>
    <w:rsid w:val="007E4513"/>
    <w:rsid w:val="007E6A49"/>
    <w:rsid w:val="007E6E0B"/>
    <w:rsid w:val="007F0214"/>
    <w:rsid w:val="007F0CD4"/>
    <w:rsid w:val="007F0EBD"/>
    <w:rsid w:val="007F1164"/>
    <w:rsid w:val="007F14B8"/>
    <w:rsid w:val="007F14D5"/>
    <w:rsid w:val="007F214B"/>
    <w:rsid w:val="007F2188"/>
    <w:rsid w:val="007F5747"/>
    <w:rsid w:val="007F69BA"/>
    <w:rsid w:val="007F6FFA"/>
    <w:rsid w:val="00802C8E"/>
    <w:rsid w:val="00803688"/>
    <w:rsid w:val="0080622C"/>
    <w:rsid w:val="00806570"/>
    <w:rsid w:val="008066EB"/>
    <w:rsid w:val="00807A61"/>
    <w:rsid w:val="00812CF3"/>
    <w:rsid w:val="00813132"/>
    <w:rsid w:val="008133FF"/>
    <w:rsid w:val="008139F8"/>
    <w:rsid w:val="0081446D"/>
    <w:rsid w:val="00815557"/>
    <w:rsid w:val="00815AEE"/>
    <w:rsid w:val="00816214"/>
    <w:rsid w:val="0082218E"/>
    <w:rsid w:val="00825C35"/>
    <w:rsid w:val="00827CD8"/>
    <w:rsid w:val="00831150"/>
    <w:rsid w:val="00832574"/>
    <w:rsid w:val="00833DF3"/>
    <w:rsid w:val="00834295"/>
    <w:rsid w:val="0083564A"/>
    <w:rsid w:val="0083578C"/>
    <w:rsid w:val="00835C96"/>
    <w:rsid w:val="00836477"/>
    <w:rsid w:val="00841199"/>
    <w:rsid w:val="00841959"/>
    <w:rsid w:val="00842483"/>
    <w:rsid w:val="00842B51"/>
    <w:rsid w:val="00844658"/>
    <w:rsid w:val="00844CAB"/>
    <w:rsid w:val="00846E7E"/>
    <w:rsid w:val="00847268"/>
    <w:rsid w:val="0084750D"/>
    <w:rsid w:val="00847ACA"/>
    <w:rsid w:val="00847EB2"/>
    <w:rsid w:val="008500DD"/>
    <w:rsid w:val="00851328"/>
    <w:rsid w:val="00852BF6"/>
    <w:rsid w:val="0085333E"/>
    <w:rsid w:val="00854974"/>
    <w:rsid w:val="008553E5"/>
    <w:rsid w:val="0085550C"/>
    <w:rsid w:val="00856423"/>
    <w:rsid w:val="00860419"/>
    <w:rsid w:val="00860811"/>
    <w:rsid w:val="00860B1A"/>
    <w:rsid w:val="00861319"/>
    <w:rsid w:val="00861B60"/>
    <w:rsid w:val="008628E9"/>
    <w:rsid w:val="00862DA0"/>
    <w:rsid w:val="0086410F"/>
    <w:rsid w:val="00864A8A"/>
    <w:rsid w:val="00865389"/>
    <w:rsid w:val="008665FF"/>
    <w:rsid w:val="0086755E"/>
    <w:rsid w:val="00867E5C"/>
    <w:rsid w:val="0087127D"/>
    <w:rsid w:val="00871837"/>
    <w:rsid w:val="00873065"/>
    <w:rsid w:val="00873D7F"/>
    <w:rsid w:val="008750FE"/>
    <w:rsid w:val="00877BC9"/>
    <w:rsid w:val="00877D5E"/>
    <w:rsid w:val="00880E03"/>
    <w:rsid w:val="008837C3"/>
    <w:rsid w:val="008849BE"/>
    <w:rsid w:val="008865B4"/>
    <w:rsid w:val="00886928"/>
    <w:rsid w:val="00887F6F"/>
    <w:rsid w:val="00890D4D"/>
    <w:rsid w:val="008910D2"/>
    <w:rsid w:val="008923A8"/>
    <w:rsid w:val="0089248E"/>
    <w:rsid w:val="00893659"/>
    <w:rsid w:val="00893EB0"/>
    <w:rsid w:val="00893F61"/>
    <w:rsid w:val="00895646"/>
    <w:rsid w:val="008A07C1"/>
    <w:rsid w:val="008A10C7"/>
    <w:rsid w:val="008A2396"/>
    <w:rsid w:val="008A3A6C"/>
    <w:rsid w:val="008A6455"/>
    <w:rsid w:val="008A670C"/>
    <w:rsid w:val="008A7B4F"/>
    <w:rsid w:val="008B01F8"/>
    <w:rsid w:val="008B46EF"/>
    <w:rsid w:val="008B5631"/>
    <w:rsid w:val="008B5909"/>
    <w:rsid w:val="008B7A61"/>
    <w:rsid w:val="008B7B93"/>
    <w:rsid w:val="008B7EA8"/>
    <w:rsid w:val="008C0B4C"/>
    <w:rsid w:val="008C4971"/>
    <w:rsid w:val="008C6513"/>
    <w:rsid w:val="008C686C"/>
    <w:rsid w:val="008C7ABC"/>
    <w:rsid w:val="008D00BC"/>
    <w:rsid w:val="008D1AE7"/>
    <w:rsid w:val="008D2130"/>
    <w:rsid w:val="008D28C3"/>
    <w:rsid w:val="008D31C8"/>
    <w:rsid w:val="008D33C5"/>
    <w:rsid w:val="008D64C6"/>
    <w:rsid w:val="008D78FE"/>
    <w:rsid w:val="008E0F2F"/>
    <w:rsid w:val="008E14B8"/>
    <w:rsid w:val="008E2202"/>
    <w:rsid w:val="008E2A68"/>
    <w:rsid w:val="008E630F"/>
    <w:rsid w:val="008E68FD"/>
    <w:rsid w:val="008E6B89"/>
    <w:rsid w:val="008F17B2"/>
    <w:rsid w:val="008F2A13"/>
    <w:rsid w:val="008F622D"/>
    <w:rsid w:val="008F6829"/>
    <w:rsid w:val="008F6983"/>
    <w:rsid w:val="008F6B1D"/>
    <w:rsid w:val="00901DB6"/>
    <w:rsid w:val="0090223A"/>
    <w:rsid w:val="009025E3"/>
    <w:rsid w:val="00904B91"/>
    <w:rsid w:val="009063A3"/>
    <w:rsid w:val="009063B9"/>
    <w:rsid w:val="00906638"/>
    <w:rsid w:val="00906AEE"/>
    <w:rsid w:val="00910C81"/>
    <w:rsid w:val="00911FE1"/>
    <w:rsid w:val="009138B8"/>
    <w:rsid w:val="009148D6"/>
    <w:rsid w:val="00914C96"/>
    <w:rsid w:val="00915732"/>
    <w:rsid w:val="009158B4"/>
    <w:rsid w:val="009163DA"/>
    <w:rsid w:val="00916EAD"/>
    <w:rsid w:val="0091711B"/>
    <w:rsid w:val="0091715F"/>
    <w:rsid w:val="0091717B"/>
    <w:rsid w:val="00917724"/>
    <w:rsid w:val="00917977"/>
    <w:rsid w:val="009228E3"/>
    <w:rsid w:val="009235C7"/>
    <w:rsid w:val="00924D71"/>
    <w:rsid w:val="00925A01"/>
    <w:rsid w:val="00926915"/>
    <w:rsid w:val="00931489"/>
    <w:rsid w:val="0093470C"/>
    <w:rsid w:val="009358BB"/>
    <w:rsid w:val="00936508"/>
    <w:rsid w:val="0093735C"/>
    <w:rsid w:val="00937F5B"/>
    <w:rsid w:val="00940846"/>
    <w:rsid w:val="0094174F"/>
    <w:rsid w:val="00944F34"/>
    <w:rsid w:val="00945783"/>
    <w:rsid w:val="00946488"/>
    <w:rsid w:val="00946760"/>
    <w:rsid w:val="00946E59"/>
    <w:rsid w:val="009470CB"/>
    <w:rsid w:val="009473C2"/>
    <w:rsid w:val="0095270D"/>
    <w:rsid w:val="00952CAD"/>
    <w:rsid w:val="00954174"/>
    <w:rsid w:val="0095463E"/>
    <w:rsid w:val="00955346"/>
    <w:rsid w:val="0095544B"/>
    <w:rsid w:val="00956610"/>
    <w:rsid w:val="00956F02"/>
    <w:rsid w:val="009574BB"/>
    <w:rsid w:val="00957AA1"/>
    <w:rsid w:val="00960D38"/>
    <w:rsid w:val="009612E6"/>
    <w:rsid w:val="00961B3C"/>
    <w:rsid w:val="00962108"/>
    <w:rsid w:val="0096347E"/>
    <w:rsid w:val="00963B54"/>
    <w:rsid w:val="00964AC5"/>
    <w:rsid w:val="0096616E"/>
    <w:rsid w:val="00966438"/>
    <w:rsid w:val="00967209"/>
    <w:rsid w:val="00967242"/>
    <w:rsid w:val="009703D8"/>
    <w:rsid w:val="0097077A"/>
    <w:rsid w:val="00972232"/>
    <w:rsid w:val="0097527D"/>
    <w:rsid w:val="00975434"/>
    <w:rsid w:val="00976A40"/>
    <w:rsid w:val="00977597"/>
    <w:rsid w:val="00977E48"/>
    <w:rsid w:val="00977F00"/>
    <w:rsid w:val="00981190"/>
    <w:rsid w:val="009821D0"/>
    <w:rsid w:val="0098279D"/>
    <w:rsid w:val="00984712"/>
    <w:rsid w:val="00986701"/>
    <w:rsid w:val="00986C1E"/>
    <w:rsid w:val="00987995"/>
    <w:rsid w:val="0099026D"/>
    <w:rsid w:val="0099228A"/>
    <w:rsid w:val="009923C8"/>
    <w:rsid w:val="0099318A"/>
    <w:rsid w:val="0099352E"/>
    <w:rsid w:val="00993B51"/>
    <w:rsid w:val="0099473F"/>
    <w:rsid w:val="009950AB"/>
    <w:rsid w:val="00995E8F"/>
    <w:rsid w:val="00996573"/>
    <w:rsid w:val="00996FF6"/>
    <w:rsid w:val="009975FD"/>
    <w:rsid w:val="009978C9"/>
    <w:rsid w:val="009A0031"/>
    <w:rsid w:val="009A1118"/>
    <w:rsid w:val="009A1C25"/>
    <w:rsid w:val="009A373F"/>
    <w:rsid w:val="009A3B69"/>
    <w:rsid w:val="009A55E1"/>
    <w:rsid w:val="009A651C"/>
    <w:rsid w:val="009A668A"/>
    <w:rsid w:val="009A790C"/>
    <w:rsid w:val="009B24F1"/>
    <w:rsid w:val="009B31F3"/>
    <w:rsid w:val="009B5855"/>
    <w:rsid w:val="009B6284"/>
    <w:rsid w:val="009B6C9E"/>
    <w:rsid w:val="009C218E"/>
    <w:rsid w:val="009C2D53"/>
    <w:rsid w:val="009C3C6D"/>
    <w:rsid w:val="009D152D"/>
    <w:rsid w:val="009D25A5"/>
    <w:rsid w:val="009D3271"/>
    <w:rsid w:val="009D343C"/>
    <w:rsid w:val="009D35BE"/>
    <w:rsid w:val="009D3902"/>
    <w:rsid w:val="009D3956"/>
    <w:rsid w:val="009D49B4"/>
    <w:rsid w:val="009D4B70"/>
    <w:rsid w:val="009D51F4"/>
    <w:rsid w:val="009D53DA"/>
    <w:rsid w:val="009D5591"/>
    <w:rsid w:val="009D5906"/>
    <w:rsid w:val="009D65B4"/>
    <w:rsid w:val="009D73B2"/>
    <w:rsid w:val="009D75FC"/>
    <w:rsid w:val="009D7710"/>
    <w:rsid w:val="009D7E6C"/>
    <w:rsid w:val="009E0067"/>
    <w:rsid w:val="009E076F"/>
    <w:rsid w:val="009E1911"/>
    <w:rsid w:val="009E1D85"/>
    <w:rsid w:val="009E2F1B"/>
    <w:rsid w:val="009E3487"/>
    <w:rsid w:val="009E3A0A"/>
    <w:rsid w:val="009E43C2"/>
    <w:rsid w:val="009E5277"/>
    <w:rsid w:val="009E553D"/>
    <w:rsid w:val="009E63E6"/>
    <w:rsid w:val="009E6FB8"/>
    <w:rsid w:val="009E7D5D"/>
    <w:rsid w:val="009F1098"/>
    <w:rsid w:val="009F1B6E"/>
    <w:rsid w:val="009F3EEB"/>
    <w:rsid w:val="009F4A78"/>
    <w:rsid w:val="009F6399"/>
    <w:rsid w:val="009F734A"/>
    <w:rsid w:val="009F7A69"/>
    <w:rsid w:val="00A002D9"/>
    <w:rsid w:val="00A004BA"/>
    <w:rsid w:val="00A008C2"/>
    <w:rsid w:val="00A0151A"/>
    <w:rsid w:val="00A015AE"/>
    <w:rsid w:val="00A02ABA"/>
    <w:rsid w:val="00A03480"/>
    <w:rsid w:val="00A0521C"/>
    <w:rsid w:val="00A05D4D"/>
    <w:rsid w:val="00A0678A"/>
    <w:rsid w:val="00A070BB"/>
    <w:rsid w:val="00A071AF"/>
    <w:rsid w:val="00A10640"/>
    <w:rsid w:val="00A10E22"/>
    <w:rsid w:val="00A117E1"/>
    <w:rsid w:val="00A11FB6"/>
    <w:rsid w:val="00A123FC"/>
    <w:rsid w:val="00A1257B"/>
    <w:rsid w:val="00A1264D"/>
    <w:rsid w:val="00A12B95"/>
    <w:rsid w:val="00A13B33"/>
    <w:rsid w:val="00A157E7"/>
    <w:rsid w:val="00A15C3F"/>
    <w:rsid w:val="00A16D90"/>
    <w:rsid w:val="00A21DB2"/>
    <w:rsid w:val="00A229E6"/>
    <w:rsid w:val="00A23692"/>
    <w:rsid w:val="00A2397B"/>
    <w:rsid w:val="00A249DC"/>
    <w:rsid w:val="00A254ED"/>
    <w:rsid w:val="00A254EF"/>
    <w:rsid w:val="00A25FB6"/>
    <w:rsid w:val="00A2600E"/>
    <w:rsid w:val="00A27A4B"/>
    <w:rsid w:val="00A30904"/>
    <w:rsid w:val="00A30CE2"/>
    <w:rsid w:val="00A30D18"/>
    <w:rsid w:val="00A31CEF"/>
    <w:rsid w:val="00A3275E"/>
    <w:rsid w:val="00A34BF1"/>
    <w:rsid w:val="00A3516F"/>
    <w:rsid w:val="00A36F22"/>
    <w:rsid w:val="00A37AF3"/>
    <w:rsid w:val="00A410B7"/>
    <w:rsid w:val="00A413F3"/>
    <w:rsid w:val="00A41B94"/>
    <w:rsid w:val="00A41E46"/>
    <w:rsid w:val="00A42C5C"/>
    <w:rsid w:val="00A42F6F"/>
    <w:rsid w:val="00A44F32"/>
    <w:rsid w:val="00A47C6A"/>
    <w:rsid w:val="00A50299"/>
    <w:rsid w:val="00A53495"/>
    <w:rsid w:val="00A5467E"/>
    <w:rsid w:val="00A548E2"/>
    <w:rsid w:val="00A561C1"/>
    <w:rsid w:val="00A5656C"/>
    <w:rsid w:val="00A56C81"/>
    <w:rsid w:val="00A57833"/>
    <w:rsid w:val="00A578F2"/>
    <w:rsid w:val="00A609BC"/>
    <w:rsid w:val="00A6123C"/>
    <w:rsid w:val="00A61C99"/>
    <w:rsid w:val="00A62BDB"/>
    <w:rsid w:val="00A646A2"/>
    <w:rsid w:val="00A64B90"/>
    <w:rsid w:val="00A64E89"/>
    <w:rsid w:val="00A65C11"/>
    <w:rsid w:val="00A660BB"/>
    <w:rsid w:val="00A6613F"/>
    <w:rsid w:val="00A66DCC"/>
    <w:rsid w:val="00A671B3"/>
    <w:rsid w:val="00A74AE8"/>
    <w:rsid w:val="00A75626"/>
    <w:rsid w:val="00A768DC"/>
    <w:rsid w:val="00A77C57"/>
    <w:rsid w:val="00A80997"/>
    <w:rsid w:val="00A81294"/>
    <w:rsid w:val="00A8209A"/>
    <w:rsid w:val="00A82578"/>
    <w:rsid w:val="00A83C97"/>
    <w:rsid w:val="00A863D8"/>
    <w:rsid w:val="00A863E6"/>
    <w:rsid w:val="00A913D4"/>
    <w:rsid w:val="00A91879"/>
    <w:rsid w:val="00A91E62"/>
    <w:rsid w:val="00A92B79"/>
    <w:rsid w:val="00A9421B"/>
    <w:rsid w:val="00A94936"/>
    <w:rsid w:val="00A94F2F"/>
    <w:rsid w:val="00A96000"/>
    <w:rsid w:val="00AA0F20"/>
    <w:rsid w:val="00AA24AA"/>
    <w:rsid w:val="00AA2BD9"/>
    <w:rsid w:val="00AA2C5A"/>
    <w:rsid w:val="00AA3C8A"/>
    <w:rsid w:val="00AA4728"/>
    <w:rsid w:val="00AA7072"/>
    <w:rsid w:val="00AA7959"/>
    <w:rsid w:val="00AA7DFD"/>
    <w:rsid w:val="00AB0CED"/>
    <w:rsid w:val="00AB1359"/>
    <w:rsid w:val="00AB1D05"/>
    <w:rsid w:val="00AB2817"/>
    <w:rsid w:val="00AB35BB"/>
    <w:rsid w:val="00AB3958"/>
    <w:rsid w:val="00AB53F1"/>
    <w:rsid w:val="00AB54D0"/>
    <w:rsid w:val="00AB554E"/>
    <w:rsid w:val="00AB6B41"/>
    <w:rsid w:val="00AB71E7"/>
    <w:rsid w:val="00AB7598"/>
    <w:rsid w:val="00AC112A"/>
    <w:rsid w:val="00AC1392"/>
    <w:rsid w:val="00AC1787"/>
    <w:rsid w:val="00AC59EF"/>
    <w:rsid w:val="00AC7C6C"/>
    <w:rsid w:val="00AD029A"/>
    <w:rsid w:val="00AD13C9"/>
    <w:rsid w:val="00AD1658"/>
    <w:rsid w:val="00AD3506"/>
    <w:rsid w:val="00AD510C"/>
    <w:rsid w:val="00AD5206"/>
    <w:rsid w:val="00AD5AEA"/>
    <w:rsid w:val="00AD6770"/>
    <w:rsid w:val="00AD6A6D"/>
    <w:rsid w:val="00AD7064"/>
    <w:rsid w:val="00AE1186"/>
    <w:rsid w:val="00AE2BF2"/>
    <w:rsid w:val="00AE3629"/>
    <w:rsid w:val="00AE3B65"/>
    <w:rsid w:val="00AE4A4E"/>
    <w:rsid w:val="00AE4CC2"/>
    <w:rsid w:val="00AE6FEA"/>
    <w:rsid w:val="00AE719B"/>
    <w:rsid w:val="00AF0045"/>
    <w:rsid w:val="00AF0642"/>
    <w:rsid w:val="00AF10E3"/>
    <w:rsid w:val="00AF174A"/>
    <w:rsid w:val="00AF29D6"/>
    <w:rsid w:val="00AF355B"/>
    <w:rsid w:val="00AF3D19"/>
    <w:rsid w:val="00AF41F6"/>
    <w:rsid w:val="00AF4A8E"/>
    <w:rsid w:val="00AF5A90"/>
    <w:rsid w:val="00AF7480"/>
    <w:rsid w:val="00AF7DC3"/>
    <w:rsid w:val="00B02876"/>
    <w:rsid w:val="00B033AC"/>
    <w:rsid w:val="00B04BE9"/>
    <w:rsid w:val="00B04C2B"/>
    <w:rsid w:val="00B05356"/>
    <w:rsid w:val="00B05958"/>
    <w:rsid w:val="00B065CC"/>
    <w:rsid w:val="00B06B7D"/>
    <w:rsid w:val="00B06F5E"/>
    <w:rsid w:val="00B07D46"/>
    <w:rsid w:val="00B1027B"/>
    <w:rsid w:val="00B11313"/>
    <w:rsid w:val="00B119BE"/>
    <w:rsid w:val="00B12160"/>
    <w:rsid w:val="00B13440"/>
    <w:rsid w:val="00B13E48"/>
    <w:rsid w:val="00B15CD4"/>
    <w:rsid w:val="00B173BD"/>
    <w:rsid w:val="00B17C9C"/>
    <w:rsid w:val="00B20043"/>
    <w:rsid w:val="00B21885"/>
    <w:rsid w:val="00B21D90"/>
    <w:rsid w:val="00B22DCD"/>
    <w:rsid w:val="00B23129"/>
    <w:rsid w:val="00B24108"/>
    <w:rsid w:val="00B251D8"/>
    <w:rsid w:val="00B25442"/>
    <w:rsid w:val="00B32BEB"/>
    <w:rsid w:val="00B34403"/>
    <w:rsid w:val="00B360C8"/>
    <w:rsid w:val="00B36810"/>
    <w:rsid w:val="00B405A4"/>
    <w:rsid w:val="00B40E79"/>
    <w:rsid w:val="00B4146B"/>
    <w:rsid w:val="00B4236B"/>
    <w:rsid w:val="00B4259B"/>
    <w:rsid w:val="00B4371C"/>
    <w:rsid w:val="00B455BA"/>
    <w:rsid w:val="00B45FC9"/>
    <w:rsid w:val="00B461DF"/>
    <w:rsid w:val="00B46978"/>
    <w:rsid w:val="00B508CD"/>
    <w:rsid w:val="00B50F72"/>
    <w:rsid w:val="00B51DF2"/>
    <w:rsid w:val="00B5300D"/>
    <w:rsid w:val="00B53B44"/>
    <w:rsid w:val="00B54D30"/>
    <w:rsid w:val="00B555BF"/>
    <w:rsid w:val="00B56345"/>
    <w:rsid w:val="00B568F4"/>
    <w:rsid w:val="00B57AA0"/>
    <w:rsid w:val="00B57AFA"/>
    <w:rsid w:val="00B6015C"/>
    <w:rsid w:val="00B60834"/>
    <w:rsid w:val="00B65351"/>
    <w:rsid w:val="00B66F04"/>
    <w:rsid w:val="00B67138"/>
    <w:rsid w:val="00B70AFC"/>
    <w:rsid w:val="00B70E21"/>
    <w:rsid w:val="00B70E28"/>
    <w:rsid w:val="00B7127C"/>
    <w:rsid w:val="00B71934"/>
    <w:rsid w:val="00B71B8F"/>
    <w:rsid w:val="00B73440"/>
    <w:rsid w:val="00B756E6"/>
    <w:rsid w:val="00B7665E"/>
    <w:rsid w:val="00B76CCB"/>
    <w:rsid w:val="00B775F9"/>
    <w:rsid w:val="00B77BA7"/>
    <w:rsid w:val="00B77EB9"/>
    <w:rsid w:val="00B80A17"/>
    <w:rsid w:val="00B8148D"/>
    <w:rsid w:val="00B816E9"/>
    <w:rsid w:val="00B81CB0"/>
    <w:rsid w:val="00B82037"/>
    <w:rsid w:val="00B8297A"/>
    <w:rsid w:val="00B82B38"/>
    <w:rsid w:val="00B841E6"/>
    <w:rsid w:val="00B84720"/>
    <w:rsid w:val="00B85613"/>
    <w:rsid w:val="00B9020D"/>
    <w:rsid w:val="00B90905"/>
    <w:rsid w:val="00B94449"/>
    <w:rsid w:val="00B95F6D"/>
    <w:rsid w:val="00B96F1E"/>
    <w:rsid w:val="00B977C8"/>
    <w:rsid w:val="00BA1E90"/>
    <w:rsid w:val="00BA284B"/>
    <w:rsid w:val="00BA309C"/>
    <w:rsid w:val="00BA3900"/>
    <w:rsid w:val="00BA3A52"/>
    <w:rsid w:val="00BA3B13"/>
    <w:rsid w:val="00BA673E"/>
    <w:rsid w:val="00BA6E27"/>
    <w:rsid w:val="00BA7A91"/>
    <w:rsid w:val="00BB0897"/>
    <w:rsid w:val="00BB1C26"/>
    <w:rsid w:val="00BB4003"/>
    <w:rsid w:val="00BB4E6A"/>
    <w:rsid w:val="00BB5077"/>
    <w:rsid w:val="00BB5297"/>
    <w:rsid w:val="00BC09EA"/>
    <w:rsid w:val="00BC2178"/>
    <w:rsid w:val="00BC234C"/>
    <w:rsid w:val="00BC2BC5"/>
    <w:rsid w:val="00BC2C86"/>
    <w:rsid w:val="00BC3818"/>
    <w:rsid w:val="00BC552D"/>
    <w:rsid w:val="00BC6A16"/>
    <w:rsid w:val="00BC718C"/>
    <w:rsid w:val="00BC72E4"/>
    <w:rsid w:val="00BC7472"/>
    <w:rsid w:val="00BC7828"/>
    <w:rsid w:val="00BD0F18"/>
    <w:rsid w:val="00BD1FD3"/>
    <w:rsid w:val="00BD3D68"/>
    <w:rsid w:val="00BD3EF5"/>
    <w:rsid w:val="00BD59D6"/>
    <w:rsid w:val="00BD6D9C"/>
    <w:rsid w:val="00BD7E9A"/>
    <w:rsid w:val="00BE0255"/>
    <w:rsid w:val="00BE0C1C"/>
    <w:rsid w:val="00BE0EEA"/>
    <w:rsid w:val="00BE1CAF"/>
    <w:rsid w:val="00BE24A3"/>
    <w:rsid w:val="00BE3F2C"/>
    <w:rsid w:val="00BE4305"/>
    <w:rsid w:val="00BE517B"/>
    <w:rsid w:val="00BE56BF"/>
    <w:rsid w:val="00BE5C46"/>
    <w:rsid w:val="00BE74B8"/>
    <w:rsid w:val="00BF0210"/>
    <w:rsid w:val="00BF050C"/>
    <w:rsid w:val="00BF08EC"/>
    <w:rsid w:val="00BF1C09"/>
    <w:rsid w:val="00BF28CB"/>
    <w:rsid w:val="00BF32F9"/>
    <w:rsid w:val="00BF38C7"/>
    <w:rsid w:val="00BF694F"/>
    <w:rsid w:val="00BF79CE"/>
    <w:rsid w:val="00BF7B97"/>
    <w:rsid w:val="00C0018C"/>
    <w:rsid w:val="00C00C4A"/>
    <w:rsid w:val="00C02D0E"/>
    <w:rsid w:val="00C04767"/>
    <w:rsid w:val="00C04A1D"/>
    <w:rsid w:val="00C070C2"/>
    <w:rsid w:val="00C07803"/>
    <w:rsid w:val="00C10B32"/>
    <w:rsid w:val="00C115CC"/>
    <w:rsid w:val="00C11735"/>
    <w:rsid w:val="00C119C8"/>
    <w:rsid w:val="00C11C59"/>
    <w:rsid w:val="00C1465B"/>
    <w:rsid w:val="00C152FD"/>
    <w:rsid w:val="00C2009F"/>
    <w:rsid w:val="00C2021D"/>
    <w:rsid w:val="00C20ADC"/>
    <w:rsid w:val="00C20EC6"/>
    <w:rsid w:val="00C22AB3"/>
    <w:rsid w:val="00C23066"/>
    <w:rsid w:val="00C26913"/>
    <w:rsid w:val="00C26D54"/>
    <w:rsid w:val="00C26E7F"/>
    <w:rsid w:val="00C30EAF"/>
    <w:rsid w:val="00C314AE"/>
    <w:rsid w:val="00C34FC4"/>
    <w:rsid w:val="00C35527"/>
    <w:rsid w:val="00C35E00"/>
    <w:rsid w:val="00C36FA8"/>
    <w:rsid w:val="00C37E9D"/>
    <w:rsid w:val="00C40A8F"/>
    <w:rsid w:val="00C40E67"/>
    <w:rsid w:val="00C41829"/>
    <w:rsid w:val="00C42FE8"/>
    <w:rsid w:val="00C43F71"/>
    <w:rsid w:val="00C4603E"/>
    <w:rsid w:val="00C46398"/>
    <w:rsid w:val="00C46423"/>
    <w:rsid w:val="00C473F6"/>
    <w:rsid w:val="00C5099A"/>
    <w:rsid w:val="00C5171F"/>
    <w:rsid w:val="00C52253"/>
    <w:rsid w:val="00C56D07"/>
    <w:rsid w:val="00C61A78"/>
    <w:rsid w:val="00C62A04"/>
    <w:rsid w:val="00C666C1"/>
    <w:rsid w:val="00C67E24"/>
    <w:rsid w:val="00C7188A"/>
    <w:rsid w:val="00C74C71"/>
    <w:rsid w:val="00C779B2"/>
    <w:rsid w:val="00C77FA4"/>
    <w:rsid w:val="00C80132"/>
    <w:rsid w:val="00C806EE"/>
    <w:rsid w:val="00C80BC4"/>
    <w:rsid w:val="00C81076"/>
    <w:rsid w:val="00C81E32"/>
    <w:rsid w:val="00C82FF8"/>
    <w:rsid w:val="00C845F0"/>
    <w:rsid w:val="00C8644A"/>
    <w:rsid w:val="00C87CD8"/>
    <w:rsid w:val="00C91AEE"/>
    <w:rsid w:val="00C92418"/>
    <w:rsid w:val="00C92486"/>
    <w:rsid w:val="00C92867"/>
    <w:rsid w:val="00C933E9"/>
    <w:rsid w:val="00C960B8"/>
    <w:rsid w:val="00C962ED"/>
    <w:rsid w:val="00C96ACF"/>
    <w:rsid w:val="00C96DD3"/>
    <w:rsid w:val="00CA0901"/>
    <w:rsid w:val="00CA2288"/>
    <w:rsid w:val="00CA2647"/>
    <w:rsid w:val="00CA3121"/>
    <w:rsid w:val="00CA4085"/>
    <w:rsid w:val="00CA4E96"/>
    <w:rsid w:val="00CA59E7"/>
    <w:rsid w:val="00CA61AD"/>
    <w:rsid w:val="00CA6616"/>
    <w:rsid w:val="00CA67ED"/>
    <w:rsid w:val="00CB06F8"/>
    <w:rsid w:val="00CB1452"/>
    <w:rsid w:val="00CB18B6"/>
    <w:rsid w:val="00CB2F23"/>
    <w:rsid w:val="00CB3236"/>
    <w:rsid w:val="00CB4571"/>
    <w:rsid w:val="00CB5C0C"/>
    <w:rsid w:val="00CB5DD9"/>
    <w:rsid w:val="00CB6396"/>
    <w:rsid w:val="00CB63C9"/>
    <w:rsid w:val="00CB6C90"/>
    <w:rsid w:val="00CC08CA"/>
    <w:rsid w:val="00CC0A35"/>
    <w:rsid w:val="00CC331E"/>
    <w:rsid w:val="00CC3C31"/>
    <w:rsid w:val="00CC40CA"/>
    <w:rsid w:val="00CC5C9A"/>
    <w:rsid w:val="00CD08E0"/>
    <w:rsid w:val="00CD131C"/>
    <w:rsid w:val="00CD13B2"/>
    <w:rsid w:val="00CD20FC"/>
    <w:rsid w:val="00CD2599"/>
    <w:rsid w:val="00CD3386"/>
    <w:rsid w:val="00CD3F36"/>
    <w:rsid w:val="00CD712B"/>
    <w:rsid w:val="00CD72F2"/>
    <w:rsid w:val="00CD76C3"/>
    <w:rsid w:val="00CE0415"/>
    <w:rsid w:val="00CE0955"/>
    <w:rsid w:val="00CE13B3"/>
    <w:rsid w:val="00CE1CD4"/>
    <w:rsid w:val="00CE23C0"/>
    <w:rsid w:val="00CE2719"/>
    <w:rsid w:val="00CE2ACC"/>
    <w:rsid w:val="00CE3BBC"/>
    <w:rsid w:val="00CE56AB"/>
    <w:rsid w:val="00CE5CC6"/>
    <w:rsid w:val="00CE64D6"/>
    <w:rsid w:val="00CE6662"/>
    <w:rsid w:val="00CF0642"/>
    <w:rsid w:val="00CF0707"/>
    <w:rsid w:val="00CF1872"/>
    <w:rsid w:val="00CF378F"/>
    <w:rsid w:val="00CF3928"/>
    <w:rsid w:val="00CF4851"/>
    <w:rsid w:val="00CF5887"/>
    <w:rsid w:val="00D00F25"/>
    <w:rsid w:val="00D054CC"/>
    <w:rsid w:val="00D0556C"/>
    <w:rsid w:val="00D05A74"/>
    <w:rsid w:val="00D067DE"/>
    <w:rsid w:val="00D07B85"/>
    <w:rsid w:val="00D07BF8"/>
    <w:rsid w:val="00D10A15"/>
    <w:rsid w:val="00D111AA"/>
    <w:rsid w:val="00D11C29"/>
    <w:rsid w:val="00D131FE"/>
    <w:rsid w:val="00D16182"/>
    <w:rsid w:val="00D17BED"/>
    <w:rsid w:val="00D215D9"/>
    <w:rsid w:val="00D233D8"/>
    <w:rsid w:val="00D2422C"/>
    <w:rsid w:val="00D25EBF"/>
    <w:rsid w:val="00D2640A"/>
    <w:rsid w:val="00D276A0"/>
    <w:rsid w:val="00D27AAA"/>
    <w:rsid w:val="00D30ACE"/>
    <w:rsid w:val="00D30FEC"/>
    <w:rsid w:val="00D32A7C"/>
    <w:rsid w:val="00D339DA"/>
    <w:rsid w:val="00D33D83"/>
    <w:rsid w:val="00D34E77"/>
    <w:rsid w:val="00D34FB9"/>
    <w:rsid w:val="00D3598B"/>
    <w:rsid w:val="00D35D3C"/>
    <w:rsid w:val="00D36142"/>
    <w:rsid w:val="00D365F0"/>
    <w:rsid w:val="00D4070A"/>
    <w:rsid w:val="00D4104F"/>
    <w:rsid w:val="00D41C57"/>
    <w:rsid w:val="00D42DFC"/>
    <w:rsid w:val="00D435AC"/>
    <w:rsid w:val="00D4371F"/>
    <w:rsid w:val="00D44B53"/>
    <w:rsid w:val="00D46771"/>
    <w:rsid w:val="00D4686B"/>
    <w:rsid w:val="00D46988"/>
    <w:rsid w:val="00D47291"/>
    <w:rsid w:val="00D477BA"/>
    <w:rsid w:val="00D50641"/>
    <w:rsid w:val="00D50677"/>
    <w:rsid w:val="00D50829"/>
    <w:rsid w:val="00D515D5"/>
    <w:rsid w:val="00D51693"/>
    <w:rsid w:val="00D519B3"/>
    <w:rsid w:val="00D51B80"/>
    <w:rsid w:val="00D521A1"/>
    <w:rsid w:val="00D52638"/>
    <w:rsid w:val="00D56653"/>
    <w:rsid w:val="00D56D6B"/>
    <w:rsid w:val="00D574B4"/>
    <w:rsid w:val="00D60322"/>
    <w:rsid w:val="00D6089F"/>
    <w:rsid w:val="00D60CEB"/>
    <w:rsid w:val="00D62369"/>
    <w:rsid w:val="00D62A51"/>
    <w:rsid w:val="00D63A8C"/>
    <w:rsid w:val="00D6483D"/>
    <w:rsid w:val="00D64A51"/>
    <w:rsid w:val="00D66951"/>
    <w:rsid w:val="00D66B80"/>
    <w:rsid w:val="00D6775D"/>
    <w:rsid w:val="00D67C06"/>
    <w:rsid w:val="00D70853"/>
    <w:rsid w:val="00D71E39"/>
    <w:rsid w:val="00D74743"/>
    <w:rsid w:val="00D757AE"/>
    <w:rsid w:val="00D81A3C"/>
    <w:rsid w:val="00D82989"/>
    <w:rsid w:val="00D8383B"/>
    <w:rsid w:val="00D84045"/>
    <w:rsid w:val="00D843F8"/>
    <w:rsid w:val="00D84ADA"/>
    <w:rsid w:val="00D862D1"/>
    <w:rsid w:val="00D86741"/>
    <w:rsid w:val="00D86CDA"/>
    <w:rsid w:val="00D87259"/>
    <w:rsid w:val="00D93BD9"/>
    <w:rsid w:val="00D94707"/>
    <w:rsid w:val="00D97DCC"/>
    <w:rsid w:val="00DA11E2"/>
    <w:rsid w:val="00DA1593"/>
    <w:rsid w:val="00DA17B9"/>
    <w:rsid w:val="00DA4EB4"/>
    <w:rsid w:val="00DA591E"/>
    <w:rsid w:val="00DA5B4A"/>
    <w:rsid w:val="00DA64A8"/>
    <w:rsid w:val="00DA65DC"/>
    <w:rsid w:val="00DA72E8"/>
    <w:rsid w:val="00DB24AA"/>
    <w:rsid w:val="00DB3CE7"/>
    <w:rsid w:val="00DB409E"/>
    <w:rsid w:val="00DB5483"/>
    <w:rsid w:val="00DB797D"/>
    <w:rsid w:val="00DC1DC5"/>
    <w:rsid w:val="00DC3D4C"/>
    <w:rsid w:val="00DC3E45"/>
    <w:rsid w:val="00DC43D9"/>
    <w:rsid w:val="00DC45AD"/>
    <w:rsid w:val="00DC75A4"/>
    <w:rsid w:val="00DC7933"/>
    <w:rsid w:val="00DD15EE"/>
    <w:rsid w:val="00DD277F"/>
    <w:rsid w:val="00DD28E9"/>
    <w:rsid w:val="00DD2AFA"/>
    <w:rsid w:val="00DD48E0"/>
    <w:rsid w:val="00DD4C37"/>
    <w:rsid w:val="00DD4EE2"/>
    <w:rsid w:val="00DE25DC"/>
    <w:rsid w:val="00DE30C8"/>
    <w:rsid w:val="00DE43DA"/>
    <w:rsid w:val="00DE5E3B"/>
    <w:rsid w:val="00DE7968"/>
    <w:rsid w:val="00DF1E47"/>
    <w:rsid w:val="00DF7155"/>
    <w:rsid w:val="00DF730E"/>
    <w:rsid w:val="00DF750D"/>
    <w:rsid w:val="00E004B2"/>
    <w:rsid w:val="00E01E66"/>
    <w:rsid w:val="00E02400"/>
    <w:rsid w:val="00E02E96"/>
    <w:rsid w:val="00E0459D"/>
    <w:rsid w:val="00E04EDE"/>
    <w:rsid w:val="00E0753B"/>
    <w:rsid w:val="00E11269"/>
    <w:rsid w:val="00E11C70"/>
    <w:rsid w:val="00E12162"/>
    <w:rsid w:val="00E13814"/>
    <w:rsid w:val="00E13B33"/>
    <w:rsid w:val="00E13D71"/>
    <w:rsid w:val="00E14EA5"/>
    <w:rsid w:val="00E157C8"/>
    <w:rsid w:val="00E16B14"/>
    <w:rsid w:val="00E20A44"/>
    <w:rsid w:val="00E21FFB"/>
    <w:rsid w:val="00E226DB"/>
    <w:rsid w:val="00E27AC5"/>
    <w:rsid w:val="00E27B5F"/>
    <w:rsid w:val="00E27B7F"/>
    <w:rsid w:val="00E30D25"/>
    <w:rsid w:val="00E31A00"/>
    <w:rsid w:val="00E33FA4"/>
    <w:rsid w:val="00E34955"/>
    <w:rsid w:val="00E35D45"/>
    <w:rsid w:val="00E36AC7"/>
    <w:rsid w:val="00E401CE"/>
    <w:rsid w:val="00E41BF3"/>
    <w:rsid w:val="00E43793"/>
    <w:rsid w:val="00E44BBC"/>
    <w:rsid w:val="00E4563A"/>
    <w:rsid w:val="00E466E0"/>
    <w:rsid w:val="00E46EAB"/>
    <w:rsid w:val="00E51388"/>
    <w:rsid w:val="00E51399"/>
    <w:rsid w:val="00E53416"/>
    <w:rsid w:val="00E54A27"/>
    <w:rsid w:val="00E55983"/>
    <w:rsid w:val="00E56F56"/>
    <w:rsid w:val="00E56F60"/>
    <w:rsid w:val="00E57268"/>
    <w:rsid w:val="00E60C91"/>
    <w:rsid w:val="00E6132A"/>
    <w:rsid w:val="00E618AB"/>
    <w:rsid w:val="00E651CC"/>
    <w:rsid w:val="00E67023"/>
    <w:rsid w:val="00E67930"/>
    <w:rsid w:val="00E70291"/>
    <w:rsid w:val="00E703FD"/>
    <w:rsid w:val="00E71868"/>
    <w:rsid w:val="00E71B2E"/>
    <w:rsid w:val="00E71FA6"/>
    <w:rsid w:val="00E720B3"/>
    <w:rsid w:val="00E733A7"/>
    <w:rsid w:val="00E745E4"/>
    <w:rsid w:val="00E74F8F"/>
    <w:rsid w:val="00E750EE"/>
    <w:rsid w:val="00E7579A"/>
    <w:rsid w:val="00E761A4"/>
    <w:rsid w:val="00E76A1B"/>
    <w:rsid w:val="00E76F71"/>
    <w:rsid w:val="00E76FFD"/>
    <w:rsid w:val="00E77888"/>
    <w:rsid w:val="00E77CEB"/>
    <w:rsid w:val="00E80A85"/>
    <w:rsid w:val="00E8435D"/>
    <w:rsid w:val="00E84D1B"/>
    <w:rsid w:val="00E85C9C"/>
    <w:rsid w:val="00E85E53"/>
    <w:rsid w:val="00E86A0C"/>
    <w:rsid w:val="00E91B5E"/>
    <w:rsid w:val="00E9334F"/>
    <w:rsid w:val="00E93576"/>
    <w:rsid w:val="00E936DA"/>
    <w:rsid w:val="00E95136"/>
    <w:rsid w:val="00E963A9"/>
    <w:rsid w:val="00E96604"/>
    <w:rsid w:val="00E96D84"/>
    <w:rsid w:val="00EA0A7A"/>
    <w:rsid w:val="00EA0F24"/>
    <w:rsid w:val="00EA10EE"/>
    <w:rsid w:val="00EA1DD3"/>
    <w:rsid w:val="00EA33F5"/>
    <w:rsid w:val="00EA442A"/>
    <w:rsid w:val="00EA6CDE"/>
    <w:rsid w:val="00EB0405"/>
    <w:rsid w:val="00EB2461"/>
    <w:rsid w:val="00EB2623"/>
    <w:rsid w:val="00EB4335"/>
    <w:rsid w:val="00EB531A"/>
    <w:rsid w:val="00EB60D9"/>
    <w:rsid w:val="00EB6DCC"/>
    <w:rsid w:val="00EB7A33"/>
    <w:rsid w:val="00EC0F3E"/>
    <w:rsid w:val="00EC1882"/>
    <w:rsid w:val="00EC1A63"/>
    <w:rsid w:val="00EC1E56"/>
    <w:rsid w:val="00EC3E63"/>
    <w:rsid w:val="00EC532C"/>
    <w:rsid w:val="00EC5C35"/>
    <w:rsid w:val="00EC60B6"/>
    <w:rsid w:val="00EC62C0"/>
    <w:rsid w:val="00EC65CE"/>
    <w:rsid w:val="00EC6796"/>
    <w:rsid w:val="00EC7DDF"/>
    <w:rsid w:val="00ED0391"/>
    <w:rsid w:val="00ED06AB"/>
    <w:rsid w:val="00ED1CB1"/>
    <w:rsid w:val="00ED1D54"/>
    <w:rsid w:val="00ED4921"/>
    <w:rsid w:val="00EE0332"/>
    <w:rsid w:val="00EE08AB"/>
    <w:rsid w:val="00EE1831"/>
    <w:rsid w:val="00EE343D"/>
    <w:rsid w:val="00EE378B"/>
    <w:rsid w:val="00EE447A"/>
    <w:rsid w:val="00EE643F"/>
    <w:rsid w:val="00EE6FEB"/>
    <w:rsid w:val="00EE73E2"/>
    <w:rsid w:val="00EE7B92"/>
    <w:rsid w:val="00EF11FE"/>
    <w:rsid w:val="00EF1213"/>
    <w:rsid w:val="00EF21BF"/>
    <w:rsid w:val="00EF323F"/>
    <w:rsid w:val="00EF4084"/>
    <w:rsid w:val="00EF4621"/>
    <w:rsid w:val="00EF4C6E"/>
    <w:rsid w:val="00EF5CDF"/>
    <w:rsid w:val="00EF6B26"/>
    <w:rsid w:val="00EF6BBE"/>
    <w:rsid w:val="00F0186E"/>
    <w:rsid w:val="00F0199D"/>
    <w:rsid w:val="00F047CB"/>
    <w:rsid w:val="00F05861"/>
    <w:rsid w:val="00F05F11"/>
    <w:rsid w:val="00F07289"/>
    <w:rsid w:val="00F073C2"/>
    <w:rsid w:val="00F10903"/>
    <w:rsid w:val="00F10AD6"/>
    <w:rsid w:val="00F10F09"/>
    <w:rsid w:val="00F12B75"/>
    <w:rsid w:val="00F143C1"/>
    <w:rsid w:val="00F15A28"/>
    <w:rsid w:val="00F16A00"/>
    <w:rsid w:val="00F17884"/>
    <w:rsid w:val="00F17C27"/>
    <w:rsid w:val="00F244C5"/>
    <w:rsid w:val="00F25E66"/>
    <w:rsid w:val="00F25F96"/>
    <w:rsid w:val="00F27F9F"/>
    <w:rsid w:val="00F30E57"/>
    <w:rsid w:val="00F3272E"/>
    <w:rsid w:val="00F32E9F"/>
    <w:rsid w:val="00F35CA7"/>
    <w:rsid w:val="00F3644E"/>
    <w:rsid w:val="00F36F2F"/>
    <w:rsid w:val="00F40793"/>
    <w:rsid w:val="00F414D1"/>
    <w:rsid w:val="00F42573"/>
    <w:rsid w:val="00F42B64"/>
    <w:rsid w:val="00F44642"/>
    <w:rsid w:val="00F47626"/>
    <w:rsid w:val="00F516C5"/>
    <w:rsid w:val="00F51ED0"/>
    <w:rsid w:val="00F5449F"/>
    <w:rsid w:val="00F56B02"/>
    <w:rsid w:val="00F6059A"/>
    <w:rsid w:val="00F643E6"/>
    <w:rsid w:val="00F64C27"/>
    <w:rsid w:val="00F64C2B"/>
    <w:rsid w:val="00F64C80"/>
    <w:rsid w:val="00F70AFB"/>
    <w:rsid w:val="00F71C13"/>
    <w:rsid w:val="00F722B4"/>
    <w:rsid w:val="00F72D7B"/>
    <w:rsid w:val="00F7385C"/>
    <w:rsid w:val="00F74458"/>
    <w:rsid w:val="00F74929"/>
    <w:rsid w:val="00F75E09"/>
    <w:rsid w:val="00F75F8A"/>
    <w:rsid w:val="00F770FC"/>
    <w:rsid w:val="00F773E3"/>
    <w:rsid w:val="00F77D46"/>
    <w:rsid w:val="00F77E07"/>
    <w:rsid w:val="00F8087B"/>
    <w:rsid w:val="00F80D0D"/>
    <w:rsid w:val="00F81004"/>
    <w:rsid w:val="00F8162D"/>
    <w:rsid w:val="00F81C88"/>
    <w:rsid w:val="00F822EE"/>
    <w:rsid w:val="00F83AED"/>
    <w:rsid w:val="00F83C9A"/>
    <w:rsid w:val="00F83FE6"/>
    <w:rsid w:val="00F84C12"/>
    <w:rsid w:val="00F85862"/>
    <w:rsid w:val="00F86288"/>
    <w:rsid w:val="00F864A1"/>
    <w:rsid w:val="00F8688E"/>
    <w:rsid w:val="00F86990"/>
    <w:rsid w:val="00F873E3"/>
    <w:rsid w:val="00F900EE"/>
    <w:rsid w:val="00F9046A"/>
    <w:rsid w:val="00F91656"/>
    <w:rsid w:val="00F957DD"/>
    <w:rsid w:val="00F95B28"/>
    <w:rsid w:val="00FA0B09"/>
    <w:rsid w:val="00FA129A"/>
    <w:rsid w:val="00FA15C3"/>
    <w:rsid w:val="00FA58F6"/>
    <w:rsid w:val="00FA6A0B"/>
    <w:rsid w:val="00FA7EA0"/>
    <w:rsid w:val="00FB0245"/>
    <w:rsid w:val="00FB190F"/>
    <w:rsid w:val="00FB26B8"/>
    <w:rsid w:val="00FB31E9"/>
    <w:rsid w:val="00FB3588"/>
    <w:rsid w:val="00FB4AA2"/>
    <w:rsid w:val="00FB5609"/>
    <w:rsid w:val="00FB57ED"/>
    <w:rsid w:val="00FB74EA"/>
    <w:rsid w:val="00FC169D"/>
    <w:rsid w:val="00FC18A7"/>
    <w:rsid w:val="00FC1B1C"/>
    <w:rsid w:val="00FC31A1"/>
    <w:rsid w:val="00FC3A17"/>
    <w:rsid w:val="00FC3DBA"/>
    <w:rsid w:val="00FC589C"/>
    <w:rsid w:val="00FC5A59"/>
    <w:rsid w:val="00FC5C3A"/>
    <w:rsid w:val="00FC5FFF"/>
    <w:rsid w:val="00FC6CBB"/>
    <w:rsid w:val="00FC7214"/>
    <w:rsid w:val="00FC745D"/>
    <w:rsid w:val="00FC79F4"/>
    <w:rsid w:val="00FD0DCF"/>
    <w:rsid w:val="00FD1B58"/>
    <w:rsid w:val="00FD3AAD"/>
    <w:rsid w:val="00FD4A80"/>
    <w:rsid w:val="00FD5EFC"/>
    <w:rsid w:val="00FD68F2"/>
    <w:rsid w:val="00FD6E47"/>
    <w:rsid w:val="00FD73CE"/>
    <w:rsid w:val="00FD774C"/>
    <w:rsid w:val="00FE291F"/>
    <w:rsid w:val="00FE2FF9"/>
    <w:rsid w:val="00FE38B0"/>
    <w:rsid w:val="00FE38E0"/>
    <w:rsid w:val="00FE3E62"/>
    <w:rsid w:val="00FE46FF"/>
    <w:rsid w:val="00FE4AA8"/>
    <w:rsid w:val="00FE5A2A"/>
    <w:rsid w:val="00FE6F7D"/>
    <w:rsid w:val="00FE786F"/>
    <w:rsid w:val="00FE7A9C"/>
    <w:rsid w:val="00FF18CD"/>
    <w:rsid w:val="00FF40E5"/>
    <w:rsid w:val="00FF56A7"/>
    <w:rsid w:val="00FF73D8"/>
    <w:rsid w:val="00FF7443"/>
    <w:rsid w:val="00FF7A52"/>
    <w:rsid w:val="028AE7C8"/>
    <w:rsid w:val="03BD536F"/>
    <w:rsid w:val="04F371E7"/>
    <w:rsid w:val="05C6B66F"/>
    <w:rsid w:val="0600296B"/>
    <w:rsid w:val="06341854"/>
    <w:rsid w:val="082A7B31"/>
    <w:rsid w:val="083492CB"/>
    <w:rsid w:val="084016BE"/>
    <w:rsid w:val="08C249E7"/>
    <w:rsid w:val="09CE56DE"/>
    <w:rsid w:val="0AD95D05"/>
    <w:rsid w:val="0B25CB10"/>
    <w:rsid w:val="0B3ADFED"/>
    <w:rsid w:val="0B8728B4"/>
    <w:rsid w:val="0D98A823"/>
    <w:rsid w:val="0F26A2A0"/>
    <w:rsid w:val="0F90B0A2"/>
    <w:rsid w:val="0FE6A34F"/>
    <w:rsid w:val="10483A19"/>
    <w:rsid w:val="104AAFFE"/>
    <w:rsid w:val="10566F2D"/>
    <w:rsid w:val="105ACFE3"/>
    <w:rsid w:val="1102DA16"/>
    <w:rsid w:val="119F7572"/>
    <w:rsid w:val="1274ABEA"/>
    <w:rsid w:val="136901C2"/>
    <w:rsid w:val="149C33CC"/>
    <w:rsid w:val="14CBF09A"/>
    <w:rsid w:val="1589D793"/>
    <w:rsid w:val="15D61C9E"/>
    <w:rsid w:val="164E38C2"/>
    <w:rsid w:val="179150B0"/>
    <w:rsid w:val="198868A5"/>
    <w:rsid w:val="1AC074A3"/>
    <w:rsid w:val="1C3E7437"/>
    <w:rsid w:val="1D143133"/>
    <w:rsid w:val="1E606C54"/>
    <w:rsid w:val="1EA954BA"/>
    <w:rsid w:val="206970D7"/>
    <w:rsid w:val="21A0F6BB"/>
    <w:rsid w:val="21A4900B"/>
    <w:rsid w:val="21D6D0FB"/>
    <w:rsid w:val="2214B194"/>
    <w:rsid w:val="23AEBB8D"/>
    <w:rsid w:val="240E0A03"/>
    <w:rsid w:val="25465DDB"/>
    <w:rsid w:val="254D7963"/>
    <w:rsid w:val="26BBA2E4"/>
    <w:rsid w:val="276958C6"/>
    <w:rsid w:val="27B7D0D2"/>
    <w:rsid w:val="2844262D"/>
    <w:rsid w:val="29CD1D88"/>
    <w:rsid w:val="29D86EAA"/>
    <w:rsid w:val="29E1CF87"/>
    <w:rsid w:val="2AACB6E7"/>
    <w:rsid w:val="2BD44042"/>
    <w:rsid w:val="2C392425"/>
    <w:rsid w:val="2C81BD9D"/>
    <w:rsid w:val="2D05F39C"/>
    <w:rsid w:val="2F27351B"/>
    <w:rsid w:val="303A5535"/>
    <w:rsid w:val="320205C1"/>
    <w:rsid w:val="3599599D"/>
    <w:rsid w:val="36C40506"/>
    <w:rsid w:val="38FACC3C"/>
    <w:rsid w:val="39038655"/>
    <w:rsid w:val="39BBB99C"/>
    <w:rsid w:val="3A7F0C17"/>
    <w:rsid w:val="3ACF4F1D"/>
    <w:rsid w:val="3D14C06B"/>
    <w:rsid w:val="3EAB906F"/>
    <w:rsid w:val="3EF4D526"/>
    <w:rsid w:val="3EF605AE"/>
    <w:rsid w:val="3F91E483"/>
    <w:rsid w:val="40AA1CBF"/>
    <w:rsid w:val="426025D3"/>
    <w:rsid w:val="42C00523"/>
    <w:rsid w:val="44FC283D"/>
    <w:rsid w:val="4675B18B"/>
    <w:rsid w:val="46F28B1A"/>
    <w:rsid w:val="4700D194"/>
    <w:rsid w:val="47108BB2"/>
    <w:rsid w:val="471C2B62"/>
    <w:rsid w:val="474F7B76"/>
    <w:rsid w:val="487DE6B7"/>
    <w:rsid w:val="489C0647"/>
    <w:rsid w:val="48D1BED3"/>
    <w:rsid w:val="495A4AF0"/>
    <w:rsid w:val="49B0AF87"/>
    <w:rsid w:val="4A8559ED"/>
    <w:rsid w:val="4CA66BAD"/>
    <w:rsid w:val="4CF560C6"/>
    <w:rsid w:val="50F1D4CD"/>
    <w:rsid w:val="50F79A4A"/>
    <w:rsid w:val="512C9F8F"/>
    <w:rsid w:val="530BDD43"/>
    <w:rsid w:val="544E3BA7"/>
    <w:rsid w:val="5476E1B4"/>
    <w:rsid w:val="5484941C"/>
    <w:rsid w:val="556C470B"/>
    <w:rsid w:val="55AC13F6"/>
    <w:rsid w:val="55BBD783"/>
    <w:rsid w:val="57AA0116"/>
    <w:rsid w:val="58BD18BE"/>
    <w:rsid w:val="59D5B143"/>
    <w:rsid w:val="5A1DA3EC"/>
    <w:rsid w:val="5B41BD65"/>
    <w:rsid w:val="5B95436B"/>
    <w:rsid w:val="5BFE059A"/>
    <w:rsid w:val="5F1B16D7"/>
    <w:rsid w:val="60ADCBBD"/>
    <w:rsid w:val="60F7B9DF"/>
    <w:rsid w:val="629421B8"/>
    <w:rsid w:val="63414E35"/>
    <w:rsid w:val="6AFC56CA"/>
    <w:rsid w:val="6B369DAC"/>
    <w:rsid w:val="6B4677BD"/>
    <w:rsid w:val="6C4E0A4A"/>
    <w:rsid w:val="6C7A13C0"/>
    <w:rsid w:val="6C8AF873"/>
    <w:rsid w:val="6F061FB5"/>
    <w:rsid w:val="6F9F3D9B"/>
    <w:rsid w:val="6FA96881"/>
    <w:rsid w:val="70E7B419"/>
    <w:rsid w:val="717B33A4"/>
    <w:rsid w:val="71906CE5"/>
    <w:rsid w:val="7254D778"/>
    <w:rsid w:val="72B2319A"/>
    <w:rsid w:val="73DF5BF1"/>
    <w:rsid w:val="741F6E1A"/>
    <w:rsid w:val="7463526F"/>
    <w:rsid w:val="77D2BF33"/>
    <w:rsid w:val="7822DC55"/>
    <w:rsid w:val="78252960"/>
    <w:rsid w:val="78D9B6E0"/>
    <w:rsid w:val="79815893"/>
    <w:rsid w:val="79B9EAAA"/>
    <w:rsid w:val="7A934317"/>
    <w:rsid w:val="7AC541AE"/>
    <w:rsid w:val="7B5D4414"/>
    <w:rsid w:val="7B98DBA2"/>
    <w:rsid w:val="7CF89A83"/>
    <w:rsid w:val="7D0DF4A0"/>
    <w:rsid w:val="7D27C74A"/>
    <w:rsid w:val="7D3BF193"/>
    <w:rsid w:val="7D633D1C"/>
    <w:rsid w:val="7DD4F424"/>
    <w:rsid w:val="7E398880"/>
    <w:rsid w:val="7EB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8FEB"/>
  <w15:chartTrackingRefBased/>
  <w15:docId w15:val="{002E2C72-D848-40E3-9D52-0E656F9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3E40" w:themeColor="text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8C"/>
    <w:pPr>
      <w:spacing w:before="280" w:after="0" w:line="240" w:lineRule="auto"/>
    </w:pPr>
    <w:rPr>
      <w:color w:val="000000" w:themeColor="text1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6DD3"/>
    <w:pPr>
      <w:keepNext/>
      <w:keepLines/>
      <w:spacing w:before="0" w:line="120" w:lineRule="auto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08CD"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08C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E25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A88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E25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A8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7301A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77301A"/>
  </w:style>
  <w:style w:type="paragraph" w:styleId="Bunntekst">
    <w:name w:val="footer"/>
    <w:basedOn w:val="Normal"/>
    <w:link w:val="BunntekstTegn"/>
    <w:uiPriority w:val="99"/>
    <w:unhideWhenUsed/>
    <w:rsid w:val="0077301A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77301A"/>
  </w:style>
  <w:style w:type="table" w:styleId="Tabellrutenett">
    <w:name w:val="Table Grid"/>
    <w:basedOn w:val="Vanligtabell"/>
    <w:uiPriority w:val="39"/>
    <w:rsid w:val="0077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64727"/>
    <w:pPr>
      <w:spacing w:before="0"/>
      <w:contextualSpacing/>
    </w:pPr>
    <w:rPr>
      <w:rFonts w:asciiTheme="majorHAnsi" w:eastAsiaTheme="majorEastAsia" w:hAnsiTheme="majorHAnsi" w:cstheme="majorBidi"/>
      <w:b/>
      <w:caps/>
      <w:color w:val="403E40" w:themeColor="text2"/>
      <w:spacing w:val="20"/>
      <w:kern w:val="28"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4727"/>
    <w:rPr>
      <w:rFonts w:asciiTheme="majorHAnsi" w:eastAsiaTheme="majorEastAsia" w:hAnsiTheme="majorHAnsi" w:cstheme="majorBidi"/>
      <w:b/>
      <w:caps/>
      <w:spacing w:val="20"/>
      <w:kern w:val="28"/>
      <w:sz w:val="54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6D54"/>
    <w:pPr>
      <w:framePr w:hSpace="181" w:wrap="around" w:vAnchor="page" w:hAnchor="page" w:x="1305" w:y="1521"/>
      <w:numPr>
        <w:ilvl w:val="1"/>
      </w:numPr>
      <w:spacing w:before="0" w:after="80"/>
      <w:suppressOverlap/>
    </w:pPr>
    <w:rPr>
      <w:rFonts w:eastAsiaTheme="minorEastAsia"/>
      <w:color w:val="403E40" w:themeColor="text2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6D54"/>
    <w:rPr>
      <w:rFonts w:eastAsiaTheme="minorEastAsia"/>
      <w:sz w:val="32"/>
      <w:szCs w:val="2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96DD3"/>
    <w:rPr>
      <w:rFonts w:asciiTheme="majorHAnsi" w:eastAsiaTheme="majorEastAsia" w:hAnsiTheme="majorHAnsi" w:cstheme="majorBidi"/>
      <w:b/>
      <w:color w:val="000000" w:themeColor="text1"/>
      <w:sz w:val="56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08CD"/>
    <w:rPr>
      <w:rFonts w:asciiTheme="majorHAnsi" w:eastAsiaTheme="majorEastAsia" w:hAnsiTheme="majorHAnsi" w:cstheme="majorBidi"/>
      <w:b/>
      <w:color w:val="000000" w:themeColor="text1"/>
      <w:sz w:val="48"/>
      <w:szCs w:val="26"/>
      <w:lang w:val="nb-NO"/>
    </w:rPr>
  </w:style>
  <w:style w:type="paragraph" w:customStyle="1" w:styleId="Mindretekst">
    <w:name w:val="Mindre tekst"/>
    <w:basedOn w:val="Normal"/>
    <w:qFormat/>
    <w:rsid w:val="000C2DE2"/>
    <w:pPr>
      <w:spacing w:before="0"/>
    </w:pPr>
    <w:rPr>
      <w:sz w:val="18"/>
    </w:rPr>
  </w:style>
  <w:style w:type="character" w:styleId="Sterk">
    <w:name w:val="Strong"/>
    <w:basedOn w:val="Standardskriftforavsnitt"/>
    <w:uiPriority w:val="22"/>
    <w:qFormat/>
    <w:rsid w:val="000C2DE2"/>
    <w:rPr>
      <w:b/>
      <w:bCs/>
    </w:rPr>
  </w:style>
  <w:style w:type="table" w:customStyle="1" w:styleId="Skjematabell">
    <w:name w:val="Skjematabell"/>
    <w:basedOn w:val="Vanligtabell"/>
    <w:uiPriority w:val="99"/>
    <w:rsid w:val="00E733A7"/>
    <w:pPr>
      <w:spacing w:after="0" w:line="240" w:lineRule="auto"/>
    </w:pPr>
    <w:tblPr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C2C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2C86"/>
    <w:rPr>
      <w:rFonts w:ascii="Segoe UI" w:hAnsi="Segoe UI" w:cs="Segoe UI"/>
      <w:color w:val="000000" w:themeColor="text1"/>
      <w:sz w:val="18"/>
      <w:szCs w:val="18"/>
    </w:rPr>
  </w:style>
  <w:style w:type="paragraph" w:styleId="Ingenmellomrom">
    <w:name w:val="No Spacing"/>
    <w:uiPriority w:val="1"/>
    <w:qFormat/>
    <w:rsid w:val="00BC234C"/>
    <w:pPr>
      <w:spacing w:after="0" w:line="240" w:lineRule="auto"/>
    </w:pPr>
    <w:rPr>
      <w:color w:val="000000" w:themeColor="text1"/>
    </w:rPr>
  </w:style>
  <w:style w:type="paragraph" w:styleId="Punktliste">
    <w:name w:val="List Bullet"/>
    <w:basedOn w:val="Normal"/>
    <w:uiPriority w:val="99"/>
    <w:unhideWhenUsed/>
    <w:rsid w:val="002071BF"/>
    <w:pPr>
      <w:numPr>
        <w:numId w:val="1"/>
      </w:numPr>
      <w:spacing w:before="0" w:after="80"/>
      <w:ind w:left="369" w:hanging="369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508CD"/>
    <w:rPr>
      <w:rFonts w:asciiTheme="majorHAnsi" w:eastAsiaTheme="majorEastAsia" w:hAnsiTheme="majorHAnsi" w:cstheme="majorBidi"/>
      <w:b/>
      <w:color w:val="000000" w:themeColor="text1"/>
      <w:sz w:val="28"/>
      <w:szCs w:val="24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137BCB"/>
    <w:rPr>
      <w:vanish/>
      <w:color w:val="808080"/>
    </w:rPr>
  </w:style>
  <w:style w:type="paragraph" w:customStyle="1" w:styleId="Pa0">
    <w:name w:val="Pa0"/>
    <w:basedOn w:val="Normal"/>
    <w:next w:val="Normal"/>
    <w:uiPriority w:val="99"/>
    <w:rsid w:val="006D19D7"/>
    <w:pPr>
      <w:autoSpaceDE w:val="0"/>
      <w:autoSpaceDN w:val="0"/>
      <w:adjustRightInd w:val="0"/>
      <w:spacing w:before="0" w:line="241" w:lineRule="atLeast"/>
    </w:pPr>
    <w:rPr>
      <w:rFonts w:ascii="Calibri" w:hAnsi="Calibri" w:cs="Calibri"/>
      <w:color w:val="403E40" w:themeColor="text2"/>
      <w:szCs w:val="24"/>
    </w:rPr>
  </w:style>
  <w:style w:type="character" w:customStyle="1" w:styleId="A1">
    <w:name w:val="A1"/>
    <w:uiPriority w:val="99"/>
    <w:rsid w:val="006D19D7"/>
    <w:rPr>
      <w:color w:val="211D1E"/>
      <w:sz w:val="18"/>
      <w:szCs w:val="18"/>
    </w:rPr>
  </w:style>
  <w:style w:type="paragraph" w:customStyle="1" w:styleId="Punktlistealfanumerisk">
    <w:name w:val="Punktliste alfanumerisk"/>
    <w:basedOn w:val="Mindretekst"/>
    <w:rsid w:val="00836477"/>
    <w:pPr>
      <w:numPr>
        <w:numId w:val="2"/>
      </w:numPr>
      <w:spacing w:after="220"/>
      <w:ind w:left="170" w:hanging="170"/>
    </w:pPr>
    <w:rPr>
      <w:noProof/>
    </w:rPr>
  </w:style>
  <w:style w:type="paragraph" w:styleId="Listeavsnitt">
    <w:name w:val="List Paragraph"/>
    <w:basedOn w:val="Normal"/>
    <w:uiPriority w:val="34"/>
    <w:qFormat/>
    <w:rsid w:val="002071BF"/>
    <w:pPr>
      <w:ind w:left="720"/>
      <w:contextualSpacing/>
    </w:pPr>
  </w:style>
  <w:style w:type="table" w:customStyle="1" w:styleId="Skjematabell1">
    <w:name w:val="Skjematabell1"/>
    <w:basedOn w:val="Vanligtabell"/>
    <w:uiPriority w:val="99"/>
    <w:rsid w:val="00627229"/>
    <w:pPr>
      <w:spacing w:after="0" w:line="240" w:lineRule="auto"/>
    </w:pPr>
    <w:tblPr>
      <w:tblStyleRowBandSize w:val="1"/>
      <w:tblBorders>
        <w:top w:val="single" w:sz="8" w:space="0" w:color="B6CFBF" w:themeColor="accent1"/>
        <w:left w:val="single" w:sz="8" w:space="0" w:color="B6CFBF" w:themeColor="accent1"/>
        <w:bottom w:val="single" w:sz="8" w:space="0" w:color="B6CFBF" w:themeColor="accent1"/>
        <w:right w:val="single" w:sz="8" w:space="0" w:color="B6CFBF" w:themeColor="accent1"/>
        <w:insideH w:val="single" w:sz="8" w:space="0" w:color="B6CFBF" w:themeColor="accent1"/>
        <w:insideV w:val="single" w:sz="8" w:space="0" w:color="B6CFBF" w:themeColor="accent1"/>
      </w:tblBorders>
      <w:tblCellMar>
        <w:top w:w="142" w:type="dxa"/>
        <w:left w:w="170" w:type="dxa"/>
        <w:bottom w:w="85" w:type="dxa"/>
        <w:righ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B6CFBF" w:themeFill="accent1"/>
      </w:tcPr>
    </w:tblStylePr>
    <w:tblStylePr w:type="band1Horz">
      <w:tblPr/>
      <w:tcPr>
        <w:shd w:val="clear" w:color="auto" w:fill="DAE5DF"/>
      </w:tcPr>
    </w:tblStylePr>
    <w:tblStylePr w:type="band2Horz">
      <w:tblPr/>
      <w:tcPr>
        <w:shd w:val="clear" w:color="auto" w:fill="F3F7F4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DE25DC"/>
    <w:rPr>
      <w:rFonts w:asciiTheme="majorHAnsi" w:eastAsiaTheme="majorEastAsia" w:hAnsiTheme="majorHAnsi" w:cstheme="majorBidi"/>
      <w:i/>
      <w:iCs/>
      <w:color w:val="7BA88B" w:themeColor="accent1" w:themeShade="BF"/>
      <w:sz w:val="24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E25DC"/>
    <w:rPr>
      <w:rFonts w:asciiTheme="majorHAnsi" w:eastAsiaTheme="majorEastAsia" w:hAnsiTheme="majorHAnsi" w:cstheme="majorBidi"/>
      <w:color w:val="7BA88B" w:themeColor="accent1" w:themeShade="BF"/>
      <w:sz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DE25DC"/>
    <w:rPr>
      <w:color w:val="0563C1" w:themeColor="hyperlink"/>
      <w:u w:val="single"/>
    </w:rPr>
  </w:style>
  <w:style w:type="character" w:styleId="Sterkreferanse">
    <w:name w:val="Intense Reference"/>
    <w:basedOn w:val="Standardskriftforavsnitt"/>
    <w:uiPriority w:val="32"/>
    <w:qFormat/>
    <w:rsid w:val="00A229E6"/>
    <w:rPr>
      <w:b/>
      <w:bCs/>
      <w:smallCaps/>
      <w:color w:val="B6CFBF" w:themeColor="accent1"/>
      <w:spacing w:val="5"/>
    </w:rPr>
  </w:style>
  <w:style w:type="character" w:styleId="Utheving">
    <w:name w:val="Emphasis"/>
    <w:basedOn w:val="Standardskriftforavsnitt"/>
    <w:uiPriority w:val="20"/>
    <w:qFormat/>
    <w:rsid w:val="00A229E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22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722B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722B4"/>
    <w:rPr>
      <w:color w:val="000000" w:themeColor="text1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722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722B4"/>
    <w:rPr>
      <w:b/>
      <w:bCs/>
      <w:color w:val="000000" w:themeColor="text1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E670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37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table" w:styleId="Rutenettabell5mrkuthevingsfarge3">
    <w:name w:val="Grid Table 5 Dark Accent 3"/>
    <w:basedOn w:val="Vanligtabell"/>
    <w:uiPriority w:val="50"/>
    <w:rsid w:val="00A254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16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16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16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169" w:themeFill="accent3"/>
      </w:tcPr>
    </w:tblStylePr>
    <w:tblStylePr w:type="band1Vert">
      <w:tblPr/>
      <w:tcPr>
        <w:shd w:val="clear" w:color="auto" w:fill="FFECC3" w:themeFill="accent3" w:themeFillTint="66"/>
      </w:tcPr>
    </w:tblStylePr>
    <w:tblStylePr w:type="band1Horz">
      <w:tblPr/>
      <w:tcPr>
        <w:shd w:val="clear" w:color="auto" w:fill="FFECC3" w:themeFill="accent3" w:themeFillTint="66"/>
      </w:tcPr>
    </w:tblStylePr>
  </w:style>
  <w:style w:type="table" w:styleId="Rutenettabell4uthevingsfarge3">
    <w:name w:val="Grid Table 4 Accent 3"/>
    <w:basedOn w:val="Vanligtabell"/>
    <w:uiPriority w:val="49"/>
    <w:rsid w:val="00A254EF"/>
    <w:pPr>
      <w:spacing w:after="0" w:line="240" w:lineRule="auto"/>
    </w:pPr>
    <w:tblPr>
      <w:tblStyleRowBandSize w:val="1"/>
      <w:tblStyleColBandSize w:val="1"/>
      <w:tblBorders>
        <w:top w:val="single" w:sz="4" w:space="0" w:color="FFE3A5" w:themeColor="accent3" w:themeTint="99"/>
        <w:left w:val="single" w:sz="4" w:space="0" w:color="FFE3A5" w:themeColor="accent3" w:themeTint="99"/>
        <w:bottom w:val="single" w:sz="4" w:space="0" w:color="FFE3A5" w:themeColor="accent3" w:themeTint="99"/>
        <w:right w:val="single" w:sz="4" w:space="0" w:color="FFE3A5" w:themeColor="accent3" w:themeTint="99"/>
        <w:insideH w:val="single" w:sz="4" w:space="0" w:color="FFE3A5" w:themeColor="accent3" w:themeTint="99"/>
        <w:insideV w:val="single" w:sz="4" w:space="0" w:color="FFE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169" w:themeColor="accent3"/>
          <w:left w:val="single" w:sz="4" w:space="0" w:color="FFD169" w:themeColor="accent3"/>
          <w:bottom w:val="single" w:sz="4" w:space="0" w:color="FFD169" w:themeColor="accent3"/>
          <w:right w:val="single" w:sz="4" w:space="0" w:color="FFD169" w:themeColor="accent3"/>
          <w:insideH w:val="nil"/>
          <w:insideV w:val="nil"/>
        </w:tcBorders>
        <w:shd w:val="clear" w:color="auto" w:fill="FFD169" w:themeFill="accent3"/>
      </w:tcPr>
    </w:tblStylePr>
    <w:tblStylePr w:type="lastRow">
      <w:rPr>
        <w:b/>
        <w:bCs/>
      </w:rPr>
      <w:tblPr/>
      <w:tcPr>
        <w:tcBorders>
          <w:top w:val="double" w:sz="4" w:space="0" w:color="FFD1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E1" w:themeFill="accent3" w:themeFillTint="33"/>
      </w:tcPr>
    </w:tblStylePr>
    <w:tblStylePr w:type="band1Horz">
      <w:tblPr/>
      <w:tcPr>
        <w:shd w:val="clear" w:color="auto" w:fill="FFF5E1" w:themeFill="accent3" w:themeFillTint="33"/>
      </w:tcPr>
    </w:tblStylePr>
  </w:style>
  <w:style w:type="paragraph" w:styleId="Revisjon">
    <w:name w:val="Revision"/>
    <w:hidden/>
    <w:uiPriority w:val="99"/>
    <w:semiHidden/>
    <w:rsid w:val="004C5F27"/>
    <w:pPr>
      <w:spacing w:after="0" w:line="240" w:lineRule="auto"/>
    </w:pPr>
    <w:rPr>
      <w:color w:val="000000" w:themeColor="text1"/>
      <w:sz w:val="24"/>
      <w:lang w:val="nb-NO"/>
    </w:rPr>
  </w:style>
  <w:style w:type="table" w:styleId="Rutenettabell4uthevingsfarge4">
    <w:name w:val="Grid Table 4 Accent 4"/>
    <w:basedOn w:val="Vanligtabell"/>
    <w:uiPriority w:val="49"/>
    <w:rsid w:val="004F6C4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xmsolistparagraph">
    <w:name w:val="x_msolistparagraph"/>
    <w:basedOn w:val="Normal"/>
    <w:rsid w:val="006F2B33"/>
    <w:pPr>
      <w:spacing w:before="0"/>
      <w:ind w:left="720"/>
    </w:pPr>
    <w:rPr>
      <w:rFonts w:ascii="Calibri" w:hAnsi="Calibri" w:cs="Calibri"/>
      <w:color w:val="auto"/>
      <w:sz w:val="22"/>
      <w:szCs w:val="22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00971"/>
    <w:pPr>
      <w:spacing w:before="0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00971"/>
    <w:rPr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200971"/>
    <w:rPr>
      <w:vertAlign w:val="superscript"/>
    </w:rPr>
  </w:style>
  <w:style w:type="character" w:styleId="Omtale">
    <w:name w:val="Mention"/>
    <w:basedOn w:val="Standardskriftforavsnitt"/>
    <w:uiPriority w:val="99"/>
    <w:unhideWhenUsed/>
    <w:rsid w:val="00B32BEB"/>
    <w:rPr>
      <w:color w:val="2B579A"/>
      <w:shd w:val="clear" w:color="auto" w:fill="E1DFDD"/>
    </w:rPr>
  </w:style>
  <w:style w:type="paragraph" w:customStyle="1" w:styleId="y-list--item">
    <w:name w:val="y-list--item"/>
    <w:basedOn w:val="Normal"/>
    <w:rsid w:val="00D07B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b\AppData\Local\Microsoft\Windows\INetCache\Content.Outlook\ESYP6RUZ\Likestillingsredegj&#248;relse%20(003)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403E40"/>
      </a:dk2>
      <a:lt2>
        <a:srgbClr val="E7E6E6"/>
      </a:lt2>
      <a:accent1>
        <a:srgbClr val="B6CFBF"/>
      </a:accent1>
      <a:accent2>
        <a:srgbClr val="A9A487"/>
      </a:accent2>
      <a:accent3>
        <a:srgbClr val="FFD169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9552ac-dab7-4e89-850f-f951992375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8B86C43669641805AF1007996F967" ma:contentTypeVersion="15" ma:contentTypeDescription="Create a new document." ma:contentTypeScope="" ma:versionID="89b9052aa2463f888c5731fa33a010a6">
  <xsd:schema xmlns:xsd="http://www.w3.org/2001/XMLSchema" xmlns:xs="http://www.w3.org/2001/XMLSchema" xmlns:p="http://schemas.microsoft.com/office/2006/metadata/properties" xmlns:ns3="ef9552ac-dab7-4e89-850f-f951992375e2" xmlns:ns4="3425104a-bbc4-4f60-8326-c13b9dfe968e" targetNamespace="http://schemas.microsoft.com/office/2006/metadata/properties" ma:root="true" ma:fieldsID="7699901f05d4c1d9be0c59e2fc2f6ede" ns3:_="" ns4:_="">
    <xsd:import namespace="ef9552ac-dab7-4e89-850f-f951992375e2"/>
    <xsd:import namespace="3425104a-bbc4-4f60-8326-c13b9dfe96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52ac-dab7-4e89-850f-f95199237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5104a-bbc4-4f60-8326-c13b9dfe9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BC160-B4EE-4E06-99DE-14BD1E92C9A5}">
  <ds:schemaRefs>
    <ds:schemaRef ds:uri="http://schemas.microsoft.com/office/2006/metadata/properties"/>
    <ds:schemaRef ds:uri="http://schemas.microsoft.com/office/infopath/2007/PartnerControls"/>
    <ds:schemaRef ds:uri="ef9552ac-dab7-4e89-850f-f951992375e2"/>
  </ds:schemaRefs>
</ds:datastoreItem>
</file>

<file path=customXml/itemProps2.xml><?xml version="1.0" encoding="utf-8"?>
<ds:datastoreItem xmlns:ds="http://schemas.openxmlformats.org/officeDocument/2006/customXml" ds:itemID="{D9DCC235-6EEF-486A-A343-76A5D2F0C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EAF6A-5376-4821-87EA-F0CB4747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52ac-dab7-4e89-850f-f951992375e2"/>
    <ds:schemaRef ds:uri="3425104a-bbc4-4f60-8326-c13b9dfe9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366BD-9745-43FE-B818-C7E5A7791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Likestillingsredegjørelse (003)</Template>
  <TotalTime>1</TotalTime>
  <Pages>9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Sofie Borgen Skjetne</dc:creator>
  <cp:keywords/>
  <dc:description/>
  <cp:lastModifiedBy>Janecke Mathiesen</cp:lastModifiedBy>
  <cp:revision>2</cp:revision>
  <cp:lastPrinted>2024-03-13T19:05:00Z</cp:lastPrinted>
  <dcterms:created xsi:type="dcterms:W3CDTF">2024-04-29T06:56:00Z</dcterms:created>
  <dcterms:modified xsi:type="dcterms:W3CDTF">2024-04-29T06:56:00Z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0x0101002548B86C43669641805AF1007996F967</vt:lpwstr>
  </property>
  <property fmtid="{D5CDD505-2E9C-101B-9397-08002B2CF9AE}" pid="4" name="MediaServiceImageTags">
    <vt:lpwstr/>
  </property>
</Properties>
</file>